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AE20C" w14:textId="0838ED1B" w:rsidR="00585A12" w:rsidRPr="00774DC6" w:rsidRDefault="00100B4C" w:rsidP="00F63867">
      <w:pPr>
        <w:spacing w:after="220" w:line="560" w:lineRule="exact"/>
        <w:rPr>
          <w:rFonts w:ascii="Arial" w:eastAsia="宋体" w:hAnsi="Arial" w:cs="Arial"/>
          <w:color w:val="auto"/>
        </w:rPr>
      </w:pPr>
      <w:r w:rsidRPr="00774DC6">
        <w:rPr>
          <w:rFonts w:ascii="Arial" w:eastAsia="宋体" w:hAnsi="Arial" w:cs="Arial"/>
          <w:color w:val="auto"/>
          <w:sz w:val="24"/>
        </w:rPr>
        <w:t>证券代码：</w:t>
      </w:r>
      <w:r w:rsidRPr="00774DC6">
        <w:rPr>
          <w:rFonts w:ascii="Arial" w:eastAsia="宋体" w:hAnsi="Arial" w:cs="Arial"/>
          <w:color w:val="auto"/>
          <w:sz w:val="24"/>
        </w:rPr>
        <w:t xml:space="preserve">688208                       </w:t>
      </w:r>
      <w:r w:rsidR="00681009">
        <w:rPr>
          <w:rFonts w:ascii="Arial" w:eastAsia="宋体" w:hAnsi="Arial" w:cs="Arial"/>
          <w:color w:val="auto"/>
          <w:sz w:val="24"/>
        </w:rPr>
        <w:t xml:space="preserve">                            </w:t>
      </w:r>
      <w:r w:rsidRPr="00774DC6">
        <w:rPr>
          <w:rFonts w:ascii="Arial" w:eastAsia="宋体" w:hAnsi="Arial" w:cs="Arial"/>
          <w:color w:val="auto"/>
          <w:sz w:val="24"/>
        </w:rPr>
        <w:t xml:space="preserve">           </w:t>
      </w:r>
      <w:r w:rsidRPr="00774DC6">
        <w:rPr>
          <w:rFonts w:ascii="Arial" w:eastAsia="宋体" w:hAnsi="Arial" w:cs="Arial"/>
          <w:color w:val="auto"/>
          <w:sz w:val="24"/>
        </w:rPr>
        <w:t>证券简称：道通科技</w:t>
      </w:r>
    </w:p>
    <w:p w14:paraId="29722F40" w14:textId="77777777" w:rsidR="000370AF" w:rsidRPr="00681009" w:rsidRDefault="00100B4C" w:rsidP="00F63867">
      <w:pPr>
        <w:spacing w:after="0" w:line="560" w:lineRule="exact"/>
        <w:jc w:val="center"/>
        <w:rPr>
          <w:rFonts w:ascii="黑体" w:eastAsia="黑体" w:hAnsi="黑体" w:cs="Arial"/>
          <w:b/>
          <w:color w:val="auto"/>
          <w:sz w:val="32"/>
        </w:rPr>
      </w:pPr>
      <w:r w:rsidRPr="00681009">
        <w:rPr>
          <w:rFonts w:ascii="黑体" w:eastAsia="黑体" w:hAnsi="黑体" w:cs="Arial"/>
          <w:b/>
          <w:color w:val="auto"/>
          <w:sz w:val="32"/>
        </w:rPr>
        <w:t>深圳市道通科技股份有限公司</w:t>
      </w:r>
      <w:r w:rsidR="00150DB7" w:rsidRPr="00681009">
        <w:rPr>
          <w:rFonts w:ascii="黑体" w:eastAsia="黑体" w:hAnsi="黑体" w:cs="Arial"/>
          <w:b/>
          <w:color w:val="auto"/>
          <w:sz w:val="32"/>
        </w:rPr>
        <w:t xml:space="preserve"> </w:t>
      </w:r>
    </w:p>
    <w:p w14:paraId="58AE92A4" w14:textId="2DED0853" w:rsidR="00585A12" w:rsidRPr="00681009" w:rsidRDefault="00100B4C" w:rsidP="00F63867">
      <w:pPr>
        <w:spacing w:after="0" w:line="560" w:lineRule="exact"/>
        <w:jc w:val="center"/>
        <w:rPr>
          <w:rFonts w:ascii="黑体" w:eastAsia="黑体" w:hAnsi="黑体" w:cs="Arial"/>
          <w:b/>
          <w:color w:val="auto"/>
          <w:sz w:val="32"/>
        </w:rPr>
      </w:pPr>
      <w:r w:rsidRPr="00681009">
        <w:rPr>
          <w:rFonts w:ascii="黑体" w:eastAsia="黑体" w:hAnsi="黑体" w:cs="Arial"/>
          <w:b/>
          <w:color w:val="auto"/>
          <w:sz w:val="32"/>
        </w:rPr>
        <w:t>投资者关系活动记录表</w:t>
      </w:r>
    </w:p>
    <w:p w14:paraId="3C3C84D4" w14:textId="70FC3830" w:rsidR="00585A12" w:rsidRPr="00774DC6" w:rsidRDefault="00585A12" w:rsidP="00F63867">
      <w:pPr>
        <w:spacing w:after="0" w:line="560" w:lineRule="exact"/>
        <w:jc w:val="center"/>
        <w:rPr>
          <w:rFonts w:ascii="Arial" w:eastAsia="宋体" w:hAnsi="Arial" w:cs="Arial"/>
          <w:b/>
          <w:color w:val="auto"/>
          <w:sz w:val="32"/>
        </w:rPr>
      </w:pPr>
    </w:p>
    <w:p w14:paraId="78C09E64" w14:textId="6B3CF1F3" w:rsidR="00585A12" w:rsidRPr="00774DC6" w:rsidRDefault="00552672">
      <w:pPr>
        <w:spacing w:after="0"/>
        <w:ind w:left="1179"/>
        <w:jc w:val="right"/>
        <w:rPr>
          <w:rFonts w:ascii="Arial" w:eastAsia="宋体" w:hAnsi="Arial" w:cs="Arial"/>
          <w:color w:val="auto"/>
        </w:rPr>
      </w:pPr>
      <w:r w:rsidRPr="00774DC6">
        <w:rPr>
          <w:rFonts w:ascii="Arial" w:eastAsia="宋体" w:hAnsi="Arial" w:cs="Arial"/>
          <w:color w:val="auto"/>
        </w:rPr>
        <w:t>编号：</w:t>
      </w:r>
      <w:r w:rsidRPr="00774DC6">
        <w:rPr>
          <w:rFonts w:ascii="Arial" w:eastAsia="宋体" w:hAnsi="Arial" w:cs="Arial"/>
          <w:color w:val="auto"/>
        </w:rPr>
        <w:t>2024-0</w:t>
      </w:r>
      <w:r w:rsidR="0052086E">
        <w:rPr>
          <w:rFonts w:ascii="Arial" w:eastAsia="宋体" w:hAnsi="Arial" w:cs="Arial"/>
          <w:color w:val="auto"/>
        </w:rPr>
        <w:t>1</w:t>
      </w:r>
      <w:r w:rsidR="00086E6E">
        <w:rPr>
          <w:rFonts w:ascii="Arial" w:eastAsia="宋体" w:hAnsi="Arial" w:cs="Arial"/>
          <w:color w:val="auto"/>
        </w:rPr>
        <w:t>9</w:t>
      </w:r>
    </w:p>
    <w:tbl>
      <w:tblPr>
        <w:tblStyle w:val="TableGrid"/>
        <w:tblW w:w="9356" w:type="dxa"/>
        <w:jc w:val="center"/>
        <w:tblInd w:w="0" w:type="dxa"/>
        <w:tblLayout w:type="fixed"/>
        <w:tblCellMar>
          <w:left w:w="108" w:type="dxa"/>
          <w:bottom w:w="41" w:type="dxa"/>
        </w:tblCellMar>
        <w:tblLook w:val="04A0" w:firstRow="1" w:lastRow="0" w:firstColumn="1" w:lastColumn="0" w:noHBand="0" w:noVBand="1"/>
      </w:tblPr>
      <w:tblGrid>
        <w:gridCol w:w="997"/>
        <w:gridCol w:w="8359"/>
      </w:tblGrid>
      <w:tr w:rsidR="00C22940" w:rsidRPr="00774DC6" w14:paraId="7A14894B" w14:textId="77777777" w:rsidTr="0000316E">
        <w:trPr>
          <w:trHeight w:val="1739"/>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10895951" w14:textId="53FF1DFB" w:rsidR="00585A12" w:rsidRPr="00774DC6" w:rsidRDefault="00100B4C" w:rsidP="00686285">
            <w:pPr>
              <w:snapToGrid w:val="0"/>
              <w:spacing w:after="0" w:line="360" w:lineRule="auto"/>
              <w:jc w:val="center"/>
              <w:rPr>
                <w:rFonts w:ascii="Arial" w:eastAsia="宋体" w:hAnsi="Arial" w:cs="Arial"/>
                <w:b/>
                <w:color w:val="auto"/>
                <w:sz w:val="24"/>
                <w:szCs w:val="24"/>
              </w:rPr>
            </w:pPr>
            <w:r w:rsidRPr="00774DC6">
              <w:rPr>
                <w:rFonts w:ascii="Arial" w:eastAsia="宋体" w:hAnsi="Arial" w:cs="Arial"/>
                <w:b/>
                <w:color w:val="auto"/>
                <w:sz w:val="24"/>
                <w:szCs w:val="24"/>
              </w:rPr>
              <w:t>投资者关系活动类别</w:t>
            </w:r>
          </w:p>
        </w:tc>
        <w:tc>
          <w:tcPr>
            <w:tcW w:w="8359" w:type="dxa"/>
            <w:tcBorders>
              <w:top w:val="single" w:sz="4" w:space="0" w:color="000000"/>
              <w:left w:val="single" w:sz="4" w:space="0" w:color="000000"/>
              <w:bottom w:val="single" w:sz="4" w:space="0" w:color="000000"/>
              <w:right w:val="single" w:sz="4" w:space="0" w:color="000000"/>
            </w:tcBorders>
            <w:vAlign w:val="bottom"/>
          </w:tcPr>
          <w:p w14:paraId="00343CFD" w14:textId="0CBC2507" w:rsidR="00585A12" w:rsidRPr="00686285" w:rsidRDefault="00086E6E"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特定对象调研        </w:t>
            </w:r>
            <w:r w:rsidR="00552672"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分析师会议 </w:t>
            </w:r>
          </w:p>
          <w:p w14:paraId="6F14711A" w14:textId="32AD10EE" w:rsidR="00585A12" w:rsidRPr="00686285" w:rsidRDefault="00100B4C"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 xml:space="preserve">□媒体采访        </w:t>
            </w:r>
            <w:r w:rsidR="00552672" w:rsidRPr="00686285">
              <w:rPr>
                <w:rFonts w:ascii="宋体" w:eastAsia="宋体" w:hAnsi="宋体" w:cs="Arial"/>
                <w:color w:val="auto"/>
                <w:sz w:val="24"/>
                <w:szCs w:val="24"/>
              </w:rPr>
              <w:t xml:space="preserve"> </w:t>
            </w:r>
            <w:r w:rsidRPr="00686285">
              <w:rPr>
                <w:rFonts w:ascii="宋体" w:eastAsia="宋体" w:hAnsi="宋体" w:cs="Arial"/>
                <w:color w:val="auto"/>
                <w:sz w:val="24"/>
                <w:szCs w:val="24"/>
              </w:rPr>
              <w:t xml:space="preserve">   </w:t>
            </w:r>
            <w:r w:rsidR="005C46F9" w:rsidRPr="00686285">
              <w:rPr>
                <w:rFonts w:ascii="宋体" w:eastAsia="宋体" w:hAnsi="宋体" w:cs="Arial"/>
                <w:color w:val="auto"/>
                <w:sz w:val="24"/>
                <w:szCs w:val="24"/>
              </w:rPr>
              <w:t>□</w:t>
            </w:r>
            <w:r w:rsidRPr="00686285">
              <w:rPr>
                <w:rFonts w:ascii="宋体" w:eastAsia="宋体" w:hAnsi="宋体" w:cs="Arial"/>
                <w:color w:val="auto"/>
                <w:sz w:val="24"/>
                <w:szCs w:val="24"/>
              </w:rPr>
              <w:t xml:space="preserve">业绩说明会 </w:t>
            </w:r>
          </w:p>
          <w:p w14:paraId="7E43DF50" w14:textId="10B1F9E0" w:rsidR="00585A12" w:rsidRPr="00686285" w:rsidRDefault="00100B4C"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 xml:space="preserve">□新闻发布会     </w:t>
            </w:r>
            <w:r w:rsidR="00552672" w:rsidRPr="00686285">
              <w:rPr>
                <w:rFonts w:ascii="宋体" w:eastAsia="宋体" w:hAnsi="宋体" w:cs="Arial"/>
                <w:color w:val="auto"/>
                <w:sz w:val="24"/>
                <w:szCs w:val="24"/>
              </w:rPr>
              <w:t xml:space="preserve">  </w:t>
            </w:r>
            <w:r w:rsidRPr="00686285">
              <w:rPr>
                <w:rFonts w:ascii="宋体" w:eastAsia="宋体" w:hAnsi="宋体" w:cs="Arial"/>
                <w:color w:val="auto"/>
                <w:sz w:val="24"/>
                <w:szCs w:val="24"/>
              </w:rPr>
              <w:t xml:space="preserve">   </w:t>
            </w:r>
            <w:r w:rsidR="00B109BA" w:rsidRPr="00686285">
              <w:rPr>
                <w:rFonts w:ascii="宋体" w:eastAsia="宋体" w:hAnsi="宋体" w:cs="Arial"/>
                <w:color w:val="auto"/>
                <w:sz w:val="24"/>
                <w:szCs w:val="24"/>
              </w:rPr>
              <w:t>□</w:t>
            </w:r>
            <w:r w:rsidRPr="00686285">
              <w:rPr>
                <w:rFonts w:ascii="宋体" w:eastAsia="宋体" w:hAnsi="宋体" w:cs="Arial"/>
                <w:color w:val="auto"/>
                <w:sz w:val="24"/>
                <w:szCs w:val="24"/>
              </w:rPr>
              <w:t xml:space="preserve">路演活动 </w:t>
            </w:r>
          </w:p>
          <w:p w14:paraId="0CDB0BCF" w14:textId="7EDDB8B9" w:rsidR="00585A12" w:rsidRPr="00686285" w:rsidRDefault="00086E6E"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现场参观      </w:t>
            </w:r>
            <w:r w:rsidR="00552672" w:rsidRPr="00686285">
              <w:rPr>
                <w:rFonts w:ascii="宋体" w:eastAsia="宋体" w:hAnsi="宋体" w:cs="Arial"/>
                <w:color w:val="auto"/>
                <w:sz w:val="24"/>
                <w:szCs w:val="24"/>
              </w:rPr>
              <w:t xml:space="preserve">   </w:t>
            </w:r>
            <w:r w:rsidR="00100B4C" w:rsidRPr="00686285">
              <w:rPr>
                <w:rFonts w:ascii="宋体" w:eastAsia="宋体" w:hAnsi="宋体" w:cs="Arial"/>
                <w:color w:val="auto"/>
                <w:sz w:val="24"/>
                <w:szCs w:val="24"/>
              </w:rPr>
              <w:t xml:space="preserve">   </w:t>
            </w:r>
            <w:r w:rsidR="00D85F53"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一对一沟通</w:t>
            </w:r>
          </w:p>
          <w:p w14:paraId="4A60AE89" w14:textId="4F1B331B" w:rsidR="00585A12" w:rsidRPr="00686285" w:rsidRDefault="00E27103"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其他</w:t>
            </w:r>
            <w:r w:rsidR="008C3B0C">
              <w:rPr>
                <w:rFonts w:ascii="宋体" w:eastAsia="宋体" w:hAnsi="宋体" w:cs="Arial" w:hint="eastAsia"/>
                <w:color w:val="auto"/>
                <w:sz w:val="24"/>
                <w:szCs w:val="24"/>
              </w:rPr>
              <w:t>（电话会议）</w:t>
            </w:r>
          </w:p>
        </w:tc>
      </w:tr>
      <w:tr w:rsidR="00C22940" w:rsidRPr="001B1F4E" w14:paraId="1EAD1ACB" w14:textId="77777777" w:rsidTr="005878B3">
        <w:trPr>
          <w:trHeight w:val="2076"/>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00E4060D" w14:textId="77777777" w:rsidR="00585A12" w:rsidRPr="00774DC6" w:rsidRDefault="00100B4C">
            <w:pPr>
              <w:snapToGrid w:val="0"/>
              <w:spacing w:after="0" w:line="360" w:lineRule="auto"/>
              <w:ind w:right="110"/>
              <w:jc w:val="center"/>
              <w:rPr>
                <w:rFonts w:ascii="Arial" w:eastAsia="宋体" w:hAnsi="Arial" w:cs="Arial"/>
                <w:b/>
                <w:color w:val="auto"/>
                <w:sz w:val="24"/>
                <w:szCs w:val="24"/>
              </w:rPr>
            </w:pPr>
            <w:r w:rsidRPr="00774DC6">
              <w:rPr>
                <w:rFonts w:ascii="Arial" w:eastAsia="宋体" w:hAnsi="Arial" w:cs="Arial"/>
                <w:b/>
                <w:color w:val="auto"/>
                <w:sz w:val="24"/>
                <w:szCs w:val="24"/>
              </w:rPr>
              <w:t>参与单位及人员</w:t>
            </w:r>
          </w:p>
        </w:tc>
        <w:tc>
          <w:tcPr>
            <w:tcW w:w="8359" w:type="dxa"/>
            <w:tcBorders>
              <w:top w:val="single" w:sz="4" w:space="0" w:color="000000"/>
              <w:left w:val="single" w:sz="4" w:space="0" w:color="000000"/>
              <w:bottom w:val="single" w:sz="4" w:space="0" w:color="000000"/>
              <w:right w:val="single" w:sz="4" w:space="0" w:color="000000"/>
            </w:tcBorders>
            <w:vAlign w:val="center"/>
          </w:tcPr>
          <w:p w14:paraId="123597BE" w14:textId="537390F6" w:rsidR="00086E6E" w:rsidRPr="009D580C" w:rsidRDefault="00086E6E" w:rsidP="00086E6E">
            <w:pPr>
              <w:spacing w:after="0" w:line="360" w:lineRule="auto"/>
              <w:rPr>
                <w:rFonts w:ascii="Arial" w:eastAsia="宋体" w:hAnsi="Arial" w:cs="Arial"/>
                <w:color w:val="auto"/>
                <w:kern w:val="0"/>
                <w:sz w:val="24"/>
                <w:szCs w:val="24"/>
              </w:rPr>
            </w:pPr>
          </w:p>
          <w:p w14:paraId="138D0988" w14:textId="3037AEC1" w:rsidR="00612DE5" w:rsidRPr="009D580C" w:rsidRDefault="00612DE5" w:rsidP="00086E6E">
            <w:pPr>
              <w:spacing w:after="0" w:line="360" w:lineRule="auto"/>
              <w:rPr>
                <w:rFonts w:ascii="Arial" w:eastAsia="宋体" w:hAnsi="Arial" w:cs="Arial"/>
                <w:color w:val="auto"/>
                <w:kern w:val="0"/>
                <w:sz w:val="24"/>
                <w:szCs w:val="24"/>
              </w:rPr>
            </w:pPr>
            <w:r w:rsidRPr="009D580C">
              <w:rPr>
                <w:rFonts w:ascii="Arial" w:eastAsia="宋体" w:hAnsi="Arial" w:cs="Arial"/>
                <w:color w:val="auto"/>
                <w:kern w:val="0"/>
                <w:sz w:val="24"/>
                <w:szCs w:val="24"/>
              </w:rPr>
              <w:t>2024</w:t>
            </w:r>
            <w:r w:rsidRPr="009D580C">
              <w:rPr>
                <w:rFonts w:ascii="Arial" w:eastAsia="宋体" w:hAnsi="Arial" w:cs="Arial"/>
                <w:color w:val="auto"/>
                <w:kern w:val="0"/>
                <w:sz w:val="24"/>
                <w:szCs w:val="24"/>
              </w:rPr>
              <w:t>年</w:t>
            </w:r>
            <w:r w:rsidRPr="009D580C">
              <w:rPr>
                <w:rFonts w:ascii="Arial" w:eastAsia="宋体" w:hAnsi="Arial" w:cs="Arial"/>
                <w:color w:val="auto"/>
                <w:kern w:val="0"/>
                <w:sz w:val="24"/>
                <w:szCs w:val="24"/>
              </w:rPr>
              <w:t>8</w:t>
            </w:r>
            <w:r w:rsidRPr="009D580C">
              <w:rPr>
                <w:rFonts w:ascii="Arial" w:eastAsia="宋体" w:hAnsi="Arial" w:cs="Arial"/>
                <w:color w:val="auto"/>
                <w:kern w:val="0"/>
                <w:sz w:val="24"/>
                <w:szCs w:val="24"/>
              </w:rPr>
              <w:t>月</w:t>
            </w:r>
            <w:r w:rsidRPr="009D580C">
              <w:rPr>
                <w:rFonts w:ascii="Arial" w:eastAsia="宋体" w:hAnsi="Arial" w:cs="Arial"/>
                <w:color w:val="auto"/>
                <w:kern w:val="0"/>
                <w:sz w:val="24"/>
                <w:szCs w:val="24"/>
              </w:rPr>
              <w:t>12</w:t>
            </w:r>
            <w:r w:rsidRPr="009D580C">
              <w:rPr>
                <w:rFonts w:ascii="Arial" w:eastAsia="宋体" w:hAnsi="Arial" w:cs="Arial"/>
                <w:color w:val="auto"/>
                <w:kern w:val="0"/>
                <w:sz w:val="24"/>
                <w:szCs w:val="24"/>
              </w:rPr>
              <w:t>日（电话会议）</w:t>
            </w:r>
          </w:p>
          <w:tbl>
            <w:tblPr>
              <w:tblStyle w:val="af7"/>
              <w:tblW w:w="81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80"/>
              <w:gridCol w:w="1984"/>
              <w:gridCol w:w="1701"/>
              <w:gridCol w:w="2919"/>
            </w:tblGrid>
            <w:tr w:rsidR="00612DE5" w:rsidRPr="009D580C" w14:paraId="08787F0E" w14:textId="77777777" w:rsidTr="00D650EB">
              <w:tc>
                <w:tcPr>
                  <w:tcW w:w="1580" w:type="dxa"/>
                  <w:vAlign w:val="center"/>
                </w:tcPr>
                <w:p w14:paraId="5EC24C9A" w14:textId="76C973CA"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华安证券</w:t>
                  </w:r>
                </w:p>
              </w:tc>
              <w:tc>
                <w:tcPr>
                  <w:tcW w:w="1984" w:type="dxa"/>
                  <w:vAlign w:val="center"/>
                </w:tcPr>
                <w:p w14:paraId="5F0187C2" w14:textId="48D88E45"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胡倩倩</w:t>
                  </w:r>
                </w:p>
              </w:tc>
              <w:tc>
                <w:tcPr>
                  <w:tcW w:w="1701" w:type="dxa"/>
                  <w:vAlign w:val="center"/>
                </w:tcPr>
                <w:p w14:paraId="58C2192F" w14:textId="329AEE60"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华鑫证券</w:t>
                  </w:r>
                  <w:r w:rsidRPr="009D580C">
                    <w:rPr>
                      <w:rFonts w:ascii="Arial" w:eastAsia="宋体" w:hAnsi="Arial" w:cs="Arial"/>
                      <w:color w:val="auto"/>
                      <w:kern w:val="0"/>
                      <w:sz w:val="24"/>
                      <w:szCs w:val="24"/>
                    </w:rPr>
                    <w:t xml:space="preserve"> </w:t>
                  </w:r>
                </w:p>
              </w:tc>
              <w:tc>
                <w:tcPr>
                  <w:tcW w:w="2919" w:type="dxa"/>
                  <w:vAlign w:val="center"/>
                </w:tcPr>
                <w:p w14:paraId="294CF5A5" w14:textId="2CD8D732"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刘怡雯</w:t>
                  </w:r>
                </w:p>
              </w:tc>
            </w:tr>
            <w:tr w:rsidR="00612DE5" w:rsidRPr="009D580C" w14:paraId="265E871C" w14:textId="77777777" w:rsidTr="00D650EB">
              <w:tc>
                <w:tcPr>
                  <w:tcW w:w="1580" w:type="dxa"/>
                  <w:vAlign w:val="center"/>
                </w:tcPr>
                <w:p w14:paraId="11AEF3D6" w14:textId="296BF85B"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东海证券</w:t>
                  </w:r>
                </w:p>
              </w:tc>
              <w:tc>
                <w:tcPr>
                  <w:tcW w:w="1984" w:type="dxa"/>
                  <w:vAlign w:val="center"/>
                </w:tcPr>
                <w:p w14:paraId="7FCD119C" w14:textId="36D6C75B"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张泯萁</w:t>
                  </w:r>
                </w:p>
              </w:tc>
              <w:tc>
                <w:tcPr>
                  <w:tcW w:w="1701" w:type="dxa"/>
                  <w:vAlign w:val="center"/>
                </w:tcPr>
                <w:p w14:paraId="792988B3" w14:textId="7CB79544"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海通期货</w:t>
                  </w:r>
                </w:p>
              </w:tc>
              <w:tc>
                <w:tcPr>
                  <w:tcW w:w="2919" w:type="dxa"/>
                  <w:vAlign w:val="center"/>
                </w:tcPr>
                <w:p w14:paraId="496E451F" w14:textId="15C4515D"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周水松</w:t>
                  </w:r>
                </w:p>
              </w:tc>
            </w:tr>
            <w:tr w:rsidR="00612DE5" w:rsidRPr="009D580C" w14:paraId="7077184D" w14:textId="77777777" w:rsidTr="00D650EB">
              <w:tc>
                <w:tcPr>
                  <w:tcW w:w="1580" w:type="dxa"/>
                  <w:vAlign w:val="center"/>
                </w:tcPr>
                <w:p w14:paraId="137216A4" w14:textId="2E238B29"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高腾国际资产</w:t>
                  </w:r>
                </w:p>
              </w:tc>
              <w:tc>
                <w:tcPr>
                  <w:tcW w:w="1984" w:type="dxa"/>
                  <w:vAlign w:val="center"/>
                </w:tcPr>
                <w:p w14:paraId="1ADB4069" w14:textId="68AAC32D"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吕栋</w:t>
                  </w:r>
                </w:p>
              </w:tc>
              <w:tc>
                <w:tcPr>
                  <w:tcW w:w="1701" w:type="dxa"/>
                  <w:vAlign w:val="center"/>
                </w:tcPr>
                <w:p w14:paraId="6842C3C6" w14:textId="29E63AFB"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瑞奇期货</w:t>
                  </w:r>
                </w:p>
              </w:tc>
              <w:tc>
                <w:tcPr>
                  <w:tcW w:w="2919" w:type="dxa"/>
                  <w:vAlign w:val="center"/>
                </w:tcPr>
                <w:p w14:paraId="645D75A5" w14:textId="2772191B"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刘期或</w:t>
                  </w:r>
                </w:p>
              </w:tc>
            </w:tr>
            <w:tr w:rsidR="00612DE5" w:rsidRPr="009D580C" w14:paraId="24DFAAF8" w14:textId="77777777" w:rsidTr="00D650EB">
              <w:tc>
                <w:tcPr>
                  <w:tcW w:w="1580" w:type="dxa"/>
                  <w:vAlign w:val="center"/>
                </w:tcPr>
                <w:p w14:paraId="23EC2840" w14:textId="5E0419BB"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国信证券</w:t>
                  </w:r>
                  <w:r w:rsidRPr="009D580C">
                    <w:rPr>
                      <w:rFonts w:ascii="Arial" w:eastAsia="宋体" w:hAnsi="Arial" w:cs="Arial"/>
                      <w:color w:val="auto"/>
                      <w:kern w:val="0"/>
                      <w:sz w:val="24"/>
                      <w:szCs w:val="24"/>
                    </w:rPr>
                    <w:t xml:space="preserve"> </w:t>
                  </w:r>
                </w:p>
              </w:tc>
              <w:tc>
                <w:tcPr>
                  <w:tcW w:w="1984" w:type="dxa"/>
                  <w:vAlign w:val="center"/>
                </w:tcPr>
                <w:p w14:paraId="35D0F6D8" w14:textId="7A0E7C5F"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章耀</w:t>
                  </w:r>
                </w:p>
              </w:tc>
              <w:tc>
                <w:tcPr>
                  <w:tcW w:w="1701" w:type="dxa"/>
                  <w:vAlign w:val="center"/>
                </w:tcPr>
                <w:p w14:paraId="2C9A7CE9" w14:textId="00716A9B"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国信证券</w:t>
                  </w:r>
                </w:p>
              </w:tc>
              <w:tc>
                <w:tcPr>
                  <w:tcW w:w="2919" w:type="dxa"/>
                  <w:vAlign w:val="center"/>
                </w:tcPr>
                <w:p w14:paraId="3DB6B237" w14:textId="5F39DCC0"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贾聪</w:t>
                  </w:r>
                </w:p>
              </w:tc>
            </w:tr>
            <w:tr w:rsidR="00612DE5" w:rsidRPr="009D580C" w14:paraId="1FBEE5F5" w14:textId="77777777" w:rsidTr="00D650EB">
              <w:tc>
                <w:tcPr>
                  <w:tcW w:w="1580" w:type="dxa"/>
                  <w:vAlign w:val="center"/>
                </w:tcPr>
                <w:p w14:paraId="33AEAE68" w14:textId="5E5C0A80"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中信证券</w:t>
                  </w:r>
                </w:p>
              </w:tc>
              <w:tc>
                <w:tcPr>
                  <w:tcW w:w="1984" w:type="dxa"/>
                  <w:vAlign w:val="center"/>
                </w:tcPr>
                <w:p w14:paraId="4F659C1B" w14:textId="18C63F5A"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郭婷</w:t>
                  </w:r>
                </w:p>
              </w:tc>
              <w:tc>
                <w:tcPr>
                  <w:tcW w:w="1701" w:type="dxa"/>
                  <w:vAlign w:val="center"/>
                </w:tcPr>
                <w:p w14:paraId="082286DD" w14:textId="1A13715C"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东方财富证券</w:t>
                  </w:r>
                </w:p>
              </w:tc>
              <w:tc>
                <w:tcPr>
                  <w:tcW w:w="2919" w:type="dxa"/>
                  <w:vAlign w:val="center"/>
                </w:tcPr>
                <w:p w14:paraId="2F9C719A" w14:textId="49D69794"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朱张元</w:t>
                  </w:r>
                </w:p>
              </w:tc>
            </w:tr>
            <w:tr w:rsidR="00612DE5" w:rsidRPr="009D580C" w14:paraId="4E2D7EFC" w14:textId="77777777" w:rsidTr="00D650EB">
              <w:tc>
                <w:tcPr>
                  <w:tcW w:w="1580" w:type="dxa"/>
                  <w:vAlign w:val="center"/>
                </w:tcPr>
                <w:p w14:paraId="7988A6A4" w14:textId="0C0BBC1A"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鼎诚人寿</w:t>
                  </w:r>
                </w:p>
              </w:tc>
              <w:tc>
                <w:tcPr>
                  <w:tcW w:w="1984" w:type="dxa"/>
                  <w:vAlign w:val="center"/>
                </w:tcPr>
                <w:p w14:paraId="0A6DDC17" w14:textId="08791679"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翁欣</w:t>
                  </w:r>
                </w:p>
              </w:tc>
              <w:tc>
                <w:tcPr>
                  <w:tcW w:w="1701" w:type="dxa"/>
                  <w:vAlign w:val="center"/>
                </w:tcPr>
                <w:p w14:paraId="33A1113C" w14:textId="76F0A0F9"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东方基金</w:t>
                  </w:r>
                </w:p>
              </w:tc>
              <w:tc>
                <w:tcPr>
                  <w:tcW w:w="2919" w:type="dxa"/>
                  <w:vAlign w:val="center"/>
                </w:tcPr>
                <w:p w14:paraId="451EEB16" w14:textId="4881DCD6" w:rsidR="00612DE5" w:rsidRPr="009D580C" w:rsidRDefault="00612DE5"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孙法明、龚洲加</w:t>
                  </w:r>
                </w:p>
              </w:tc>
            </w:tr>
            <w:tr w:rsidR="00D650EB" w:rsidRPr="009D580C" w14:paraId="79AFB73B" w14:textId="77777777" w:rsidTr="00D650EB">
              <w:tc>
                <w:tcPr>
                  <w:tcW w:w="1580" w:type="dxa"/>
                  <w:vAlign w:val="center"/>
                </w:tcPr>
                <w:p w14:paraId="426D7B23" w14:textId="393BDEA1"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华安证券</w:t>
                  </w:r>
                </w:p>
              </w:tc>
              <w:tc>
                <w:tcPr>
                  <w:tcW w:w="1984" w:type="dxa"/>
                  <w:vAlign w:val="center"/>
                </w:tcPr>
                <w:p w14:paraId="7D19D5A3" w14:textId="285FCAF8"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胡倩倩</w:t>
                  </w:r>
                </w:p>
              </w:tc>
              <w:tc>
                <w:tcPr>
                  <w:tcW w:w="1701" w:type="dxa"/>
                  <w:vAlign w:val="center"/>
                </w:tcPr>
                <w:p w14:paraId="6325CBF1" w14:textId="04DD887B"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西部利得基金</w:t>
                  </w:r>
                </w:p>
              </w:tc>
              <w:tc>
                <w:tcPr>
                  <w:tcW w:w="2919" w:type="dxa"/>
                  <w:vAlign w:val="center"/>
                </w:tcPr>
                <w:p w14:paraId="3C0DD4F6" w14:textId="4DDDE2B4" w:rsidR="00D650EB" w:rsidRPr="009D580C" w:rsidRDefault="00D650EB" w:rsidP="00D650EB">
                  <w:pPr>
                    <w:spacing w:after="0" w:line="360" w:lineRule="auto"/>
                    <w:jc w:val="both"/>
                    <w:rPr>
                      <w:rFonts w:ascii="Arial" w:eastAsia="宋体" w:hAnsi="Arial" w:cs="Arial"/>
                    </w:rPr>
                  </w:pPr>
                  <w:r w:rsidRPr="009D580C">
                    <w:rPr>
                      <w:rFonts w:ascii="Arial" w:eastAsia="宋体" w:hAnsi="Arial" w:cs="Arial"/>
                    </w:rPr>
                    <w:t>邹玲玲、张昌平</w:t>
                  </w:r>
                </w:p>
              </w:tc>
            </w:tr>
            <w:tr w:rsidR="00612DE5" w:rsidRPr="009D580C" w14:paraId="47334E22" w14:textId="77777777" w:rsidTr="00D650EB">
              <w:tc>
                <w:tcPr>
                  <w:tcW w:w="1580" w:type="dxa"/>
                  <w:vAlign w:val="center"/>
                </w:tcPr>
                <w:p w14:paraId="6D81E8C4" w14:textId="1CC06F3C" w:rsidR="00612DE5" w:rsidRPr="009D580C" w:rsidRDefault="00D650EB" w:rsidP="00D650EB">
                  <w:pPr>
                    <w:spacing w:after="0" w:line="360" w:lineRule="auto"/>
                    <w:jc w:val="both"/>
                    <w:rPr>
                      <w:rFonts w:ascii="Arial" w:eastAsia="宋体" w:hAnsi="Arial" w:cs="Arial"/>
                    </w:rPr>
                  </w:pPr>
                  <w:r w:rsidRPr="009D580C">
                    <w:rPr>
                      <w:rFonts w:ascii="Arial" w:eastAsia="宋体" w:hAnsi="Arial" w:cs="Arial"/>
                    </w:rPr>
                    <w:t>西部证券</w:t>
                  </w:r>
                </w:p>
              </w:tc>
              <w:tc>
                <w:tcPr>
                  <w:tcW w:w="1984" w:type="dxa"/>
                  <w:vAlign w:val="center"/>
                </w:tcPr>
                <w:p w14:paraId="2BCB9CEB" w14:textId="353CE682" w:rsidR="00612DE5" w:rsidRPr="009D580C" w:rsidRDefault="00D650EB" w:rsidP="00D650EB">
                  <w:pPr>
                    <w:spacing w:after="0" w:line="360" w:lineRule="auto"/>
                    <w:jc w:val="both"/>
                    <w:rPr>
                      <w:rFonts w:ascii="Arial" w:eastAsia="宋体" w:hAnsi="Arial" w:cs="Arial"/>
                    </w:rPr>
                  </w:pPr>
                  <w:r w:rsidRPr="009D580C">
                    <w:rPr>
                      <w:rFonts w:ascii="Arial" w:eastAsia="宋体" w:hAnsi="Arial" w:cs="Arial"/>
                    </w:rPr>
                    <w:t>侯立森</w:t>
                  </w:r>
                </w:p>
              </w:tc>
              <w:tc>
                <w:tcPr>
                  <w:tcW w:w="1701" w:type="dxa"/>
                  <w:vAlign w:val="center"/>
                </w:tcPr>
                <w:p w14:paraId="3D4FA4A2" w14:textId="45C28472" w:rsidR="00612DE5"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西部利得基金</w:t>
                  </w:r>
                </w:p>
              </w:tc>
              <w:tc>
                <w:tcPr>
                  <w:tcW w:w="2919" w:type="dxa"/>
                  <w:vAlign w:val="center"/>
                </w:tcPr>
                <w:p w14:paraId="336BBCB6" w14:textId="0CAD21A0" w:rsidR="00612DE5"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周晶晶、陈保国</w:t>
                  </w:r>
                </w:p>
              </w:tc>
            </w:tr>
          </w:tbl>
          <w:p w14:paraId="11F3291A" w14:textId="7BA5B768" w:rsidR="00612DE5" w:rsidRPr="009D580C" w:rsidRDefault="00612DE5" w:rsidP="00086E6E">
            <w:pPr>
              <w:spacing w:after="0" w:line="360" w:lineRule="auto"/>
              <w:rPr>
                <w:rFonts w:ascii="Arial" w:eastAsia="宋体" w:hAnsi="Arial" w:cs="Arial"/>
                <w:color w:val="auto"/>
                <w:kern w:val="0"/>
                <w:sz w:val="24"/>
                <w:szCs w:val="24"/>
              </w:rPr>
            </w:pPr>
          </w:p>
          <w:p w14:paraId="1F7A13FC" w14:textId="61846C32" w:rsidR="00D650EB" w:rsidRPr="009D580C" w:rsidRDefault="00D650EB" w:rsidP="00086E6E">
            <w:pPr>
              <w:spacing w:after="0" w:line="360" w:lineRule="auto"/>
              <w:rPr>
                <w:rFonts w:ascii="Arial" w:eastAsia="宋体" w:hAnsi="Arial" w:cs="Arial"/>
                <w:color w:val="auto"/>
                <w:kern w:val="0"/>
                <w:sz w:val="24"/>
                <w:szCs w:val="24"/>
              </w:rPr>
            </w:pPr>
            <w:r w:rsidRPr="009D580C">
              <w:rPr>
                <w:rFonts w:ascii="Arial" w:eastAsia="宋体" w:hAnsi="Arial" w:cs="Arial"/>
                <w:color w:val="auto"/>
                <w:kern w:val="0"/>
                <w:sz w:val="24"/>
                <w:szCs w:val="24"/>
              </w:rPr>
              <w:t>2024</w:t>
            </w:r>
            <w:r w:rsidRPr="009D580C">
              <w:rPr>
                <w:rFonts w:ascii="Arial" w:eastAsia="宋体" w:hAnsi="Arial" w:cs="Arial"/>
                <w:color w:val="auto"/>
                <w:kern w:val="0"/>
                <w:sz w:val="24"/>
                <w:szCs w:val="24"/>
              </w:rPr>
              <w:t>年</w:t>
            </w:r>
            <w:r w:rsidRPr="009D580C">
              <w:rPr>
                <w:rFonts w:ascii="Arial" w:eastAsia="宋体" w:hAnsi="Arial" w:cs="Arial"/>
                <w:color w:val="auto"/>
                <w:kern w:val="0"/>
                <w:sz w:val="24"/>
                <w:szCs w:val="24"/>
              </w:rPr>
              <w:t>8</w:t>
            </w:r>
            <w:r w:rsidRPr="009D580C">
              <w:rPr>
                <w:rFonts w:ascii="Arial" w:eastAsia="宋体" w:hAnsi="Arial" w:cs="Arial"/>
                <w:color w:val="auto"/>
                <w:kern w:val="0"/>
                <w:sz w:val="24"/>
                <w:szCs w:val="24"/>
              </w:rPr>
              <w:t>月</w:t>
            </w:r>
            <w:r w:rsidRPr="009D580C">
              <w:rPr>
                <w:rFonts w:ascii="Arial" w:eastAsia="宋体" w:hAnsi="Arial" w:cs="Arial"/>
                <w:color w:val="auto"/>
                <w:kern w:val="0"/>
                <w:sz w:val="24"/>
                <w:szCs w:val="24"/>
              </w:rPr>
              <w:t>13</w:t>
            </w:r>
            <w:r w:rsidRPr="009D580C">
              <w:rPr>
                <w:rFonts w:ascii="Arial" w:eastAsia="宋体" w:hAnsi="Arial" w:cs="Arial"/>
                <w:color w:val="auto"/>
                <w:kern w:val="0"/>
                <w:sz w:val="24"/>
                <w:szCs w:val="24"/>
              </w:rPr>
              <w:t>日</w:t>
            </w:r>
            <w:r w:rsidR="009D580C">
              <w:rPr>
                <w:rFonts w:ascii="宋体" w:eastAsia="宋体" w:hAnsi="宋体" w:cs="宋体" w:hint="eastAsia"/>
                <w:color w:val="auto"/>
                <w:kern w:val="0"/>
                <w:sz w:val="24"/>
                <w:szCs w:val="24"/>
              </w:rPr>
              <w:t>（特定对象现场参观调研）</w:t>
            </w:r>
          </w:p>
          <w:tbl>
            <w:tblPr>
              <w:tblStyle w:val="af7"/>
              <w:tblW w:w="81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96"/>
              <w:gridCol w:w="2263"/>
              <w:gridCol w:w="1701"/>
              <w:gridCol w:w="2924"/>
            </w:tblGrid>
            <w:tr w:rsidR="00D650EB" w:rsidRPr="009D580C" w14:paraId="5A921BC2" w14:textId="77777777" w:rsidTr="00D650EB">
              <w:tc>
                <w:tcPr>
                  <w:tcW w:w="1296" w:type="dxa"/>
                </w:tcPr>
                <w:p w14:paraId="564854C9" w14:textId="23363B6B"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中欧基金</w:t>
                  </w:r>
                </w:p>
              </w:tc>
              <w:tc>
                <w:tcPr>
                  <w:tcW w:w="2263" w:type="dxa"/>
                </w:tcPr>
                <w:p w14:paraId="2FE97837" w14:textId="4A275B3E"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张杰</w:t>
                  </w:r>
                </w:p>
              </w:tc>
              <w:tc>
                <w:tcPr>
                  <w:tcW w:w="1701" w:type="dxa"/>
                </w:tcPr>
                <w:p w14:paraId="2AB5B49E" w14:textId="719DE151"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安信资管</w:t>
                  </w:r>
                </w:p>
              </w:tc>
              <w:tc>
                <w:tcPr>
                  <w:tcW w:w="2924" w:type="dxa"/>
                </w:tcPr>
                <w:p w14:paraId="17DED4B0" w14:textId="7CF2796B"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康宇璇</w:t>
                  </w:r>
                </w:p>
              </w:tc>
            </w:tr>
            <w:tr w:rsidR="00D650EB" w:rsidRPr="009D580C" w14:paraId="3B04A2B6" w14:textId="77777777" w:rsidTr="00D650EB">
              <w:tc>
                <w:tcPr>
                  <w:tcW w:w="1296" w:type="dxa"/>
                </w:tcPr>
                <w:p w14:paraId="323FC7AE" w14:textId="1BE83EE9"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建信基金</w:t>
                  </w:r>
                </w:p>
              </w:tc>
              <w:tc>
                <w:tcPr>
                  <w:tcW w:w="2263" w:type="dxa"/>
                </w:tcPr>
                <w:p w14:paraId="53DC2EC2" w14:textId="62E447E4"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黄伟宾</w:t>
                  </w:r>
                </w:p>
              </w:tc>
              <w:tc>
                <w:tcPr>
                  <w:tcW w:w="1701" w:type="dxa"/>
                </w:tcPr>
                <w:p w14:paraId="40FAAC6E" w14:textId="6A4A186E"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盈峰资本</w:t>
                  </w:r>
                </w:p>
              </w:tc>
              <w:tc>
                <w:tcPr>
                  <w:tcW w:w="2924" w:type="dxa"/>
                </w:tcPr>
                <w:p w14:paraId="6BB5DDA3" w14:textId="7D28FC1F"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高亚洲</w:t>
                  </w:r>
                </w:p>
              </w:tc>
            </w:tr>
            <w:tr w:rsidR="00D650EB" w:rsidRPr="009D580C" w14:paraId="3D5AADAB" w14:textId="77777777" w:rsidTr="00D650EB">
              <w:tc>
                <w:tcPr>
                  <w:tcW w:w="1296" w:type="dxa"/>
                </w:tcPr>
                <w:p w14:paraId="3BE2FA8E" w14:textId="37C24191"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华安基金</w:t>
                  </w:r>
                </w:p>
              </w:tc>
              <w:tc>
                <w:tcPr>
                  <w:tcW w:w="2263" w:type="dxa"/>
                </w:tcPr>
                <w:p w14:paraId="0DB2FCA5" w14:textId="6AA6E505"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蔡轩</w:t>
                  </w:r>
                </w:p>
              </w:tc>
              <w:tc>
                <w:tcPr>
                  <w:tcW w:w="1701" w:type="dxa"/>
                </w:tcPr>
                <w:p w14:paraId="2692FE5D" w14:textId="379826C0"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海通资管</w:t>
                  </w:r>
                </w:p>
              </w:tc>
              <w:tc>
                <w:tcPr>
                  <w:tcW w:w="2924" w:type="dxa"/>
                </w:tcPr>
                <w:p w14:paraId="70350701" w14:textId="285D3403"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卓怡霖</w:t>
                  </w:r>
                </w:p>
              </w:tc>
            </w:tr>
            <w:tr w:rsidR="00D650EB" w:rsidRPr="009D580C" w14:paraId="1822147B" w14:textId="77777777" w:rsidTr="00D650EB">
              <w:tc>
                <w:tcPr>
                  <w:tcW w:w="1296" w:type="dxa"/>
                </w:tcPr>
                <w:p w14:paraId="5AC56025" w14:textId="325A381C"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金鼎资本</w:t>
                  </w:r>
                </w:p>
              </w:tc>
              <w:tc>
                <w:tcPr>
                  <w:tcW w:w="2263" w:type="dxa"/>
                </w:tcPr>
                <w:p w14:paraId="61066247" w14:textId="1FACDFF0"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黄春海</w:t>
                  </w:r>
                </w:p>
              </w:tc>
              <w:tc>
                <w:tcPr>
                  <w:tcW w:w="1701" w:type="dxa"/>
                </w:tcPr>
                <w:p w14:paraId="4CF51AC7" w14:textId="63137814"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国泰人寿保险</w:t>
                  </w:r>
                </w:p>
              </w:tc>
              <w:tc>
                <w:tcPr>
                  <w:tcW w:w="2924" w:type="dxa"/>
                </w:tcPr>
                <w:p w14:paraId="72112E17" w14:textId="1AA12F95"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王云霄</w:t>
                  </w:r>
                </w:p>
              </w:tc>
            </w:tr>
            <w:tr w:rsidR="00D650EB" w:rsidRPr="009D580C" w14:paraId="4316259E" w14:textId="77777777" w:rsidTr="00D650EB">
              <w:tc>
                <w:tcPr>
                  <w:tcW w:w="1296" w:type="dxa"/>
                </w:tcPr>
                <w:p w14:paraId="6E786A5A" w14:textId="4BA1412E"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长城证券</w:t>
                  </w:r>
                </w:p>
              </w:tc>
              <w:tc>
                <w:tcPr>
                  <w:tcW w:w="2263" w:type="dxa"/>
                </w:tcPr>
                <w:p w14:paraId="1C94FD54" w14:textId="044E6658"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黄俊峰</w:t>
                  </w:r>
                  <w:r w:rsidRPr="009D580C">
                    <w:rPr>
                      <w:rFonts w:ascii="Arial" w:hAnsi="Arial" w:cs="Arial"/>
                    </w:rPr>
                    <w:t xml:space="preserve"> </w:t>
                  </w:r>
                  <w:r w:rsidRPr="009D580C">
                    <w:rPr>
                      <w:rFonts w:ascii="Arial" w:eastAsia="宋体" w:hAnsi="Arial" w:cs="Arial"/>
                    </w:rPr>
                    <w:t>、吴念峻</w:t>
                  </w:r>
                </w:p>
              </w:tc>
              <w:tc>
                <w:tcPr>
                  <w:tcW w:w="1701" w:type="dxa"/>
                </w:tcPr>
                <w:p w14:paraId="1AC73218" w14:textId="4EB8EF45"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浙商证券</w:t>
                  </w:r>
                </w:p>
              </w:tc>
              <w:tc>
                <w:tcPr>
                  <w:tcW w:w="2924" w:type="dxa"/>
                </w:tcPr>
                <w:p w14:paraId="66D98D7F" w14:textId="27C017D7" w:rsidR="00D650EB" w:rsidRPr="009D580C" w:rsidRDefault="00D650EB" w:rsidP="00D650EB">
                  <w:pPr>
                    <w:spacing w:after="0" w:line="360" w:lineRule="auto"/>
                    <w:jc w:val="both"/>
                    <w:rPr>
                      <w:rFonts w:ascii="Arial" w:eastAsia="宋体" w:hAnsi="Arial" w:cs="Arial"/>
                      <w:color w:val="auto"/>
                      <w:kern w:val="0"/>
                      <w:sz w:val="24"/>
                      <w:szCs w:val="24"/>
                    </w:rPr>
                  </w:pPr>
                  <w:r w:rsidRPr="009D580C">
                    <w:rPr>
                      <w:rFonts w:ascii="Arial" w:eastAsia="宋体" w:hAnsi="Arial" w:cs="Arial"/>
                    </w:rPr>
                    <w:t>叶光亮</w:t>
                  </w:r>
                </w:p>
              </w:tc>
            </w:tr>
          </w:tbl>
          <w:p w14:paraId="73F9C5C1" w14:textId="12623A05" w:rsidR="005E0B8A" w:rsidRPr="009D580C" w:rsidRDefault="005E0B8A" w:rsidP="00086E6E">
            <w:pPr>
              <w:spacing w:after="0" w:line="360" w:lineRule="auto"/>
              <w:rPr>
                <w:rFonts w:ascii="Arial" w:eastAsia="宋体" w:hAnsi="Arial" w:cs="Arial"/>
                <w:color w:val="auto"/>
                <w:kern w:val="0"/>
                <w:sz w:val="24"/>
                <w:szCs w:val="24"/>
              </w:rPr>
            </w:pPr>
          </w:p>
          <w:p w14:paraId="46C8C151" w14:textId="37A2BB2D" w:rsidR="00611790" w:rsidRPr="00F01ACE" w:rsidRDefault="00611790" w:rsidP="005878B3">
            <w:pPr>
              <w:spacing w:after="0" w:line="360" w:lineRule="auto"/>
              <w:rPr>
                <w:rFonts w:ascii="宋体" w:eastAsia="宋体" w:hAnsi="宋体" w:cs="宋体"/>
                <w:color w:val="auto"/>
                <w:kern w:val="0"/>
                <w:sz w:val="24"/>
                <w:szCs w:val="24"/>
              </w:rPr>
            </w:pPr>
          </w:p>
        </w:tc>
      </w:tr>
      <w:tr w:rsidR="00C22940" w:rsidRPr="00774DC6" w14:paraId="014B59B3" w14:textId="77777777" w:rsidTr="00FE296A">
        <w:trPr>
          <w:trHeight w:val="1371"/>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71E99EEE" w14:textId="77777777" w:rsidR="00585A12" w:rsidRPr="00774DC6" w:rsidRDefault="00100B4C"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lastRenderedPageBreak/>
              <w:t>时间</w:t>
            </w:r>
          </w:p>
        </w:tc>
        <w:tc>
          <w:tcPr>
            <w:tcW w:w="8359" w:type="dxa"/>
            <w:tcBorders>
              <w:top w:val="single" w:sz="4" w:space="0" w:color="000000"/>
              <w:left w:val="single" w:sz="4" w:space="0" w:color="000000"/>
              <w:bottom w:val="single" w:sz="4" w:space="0" w:color="000000"/>
              <w:right w:val="single" w:sz="4" w:space="0" w:color="000000"/>
            </w:tcBorders>
            <w:vAlign w:val="center"/>
          </w:tcPr>
          <w:p w14:paraId="44F13706" w14:textId="4D02F3E6" w:rsidR="00D650EB" w:rsidRDefault="00D650EB" w:rsidP="00DA22FA">
            <w:pPr>
              <w:snapToGrid w:val="0"/>
              <w:spacing w:after="0" w:line="360" w:lineRule="auto"/>
              <w:ind w:left="120" w:hangingChars="50" w:hanging="120"/>
              <w:jc w:val="both"/>
              <w:rPr>
                <w:rFonts w:ascii="Arial" w:eastAsia="宋体" w:hAnsi="Arial" w:cs="Arial"/>
                <w:color w:val="auto"/>
                <w:sz w:val="24"/>
                <w:szCs w:val="24"/>
              </w:rPr>
            </w:pPr>
            <w:r>
              <w:rPr>
                <w:rFonts w:ascii="Arial" w:eastAsia="宋体" w:hAnsi="Arial" w:cs="Arial" w:hint="eastAsia"/>
                <w:color w:val="auto"/>
                <w:sz w:val="24"/>
                <w:szCs w:val="24"/>
              </w:rPr>
              <w:t>2</w:t>
            </w:r>
            <w:r>
              <w:rPr>
                <w:rFonts w:ascii="Arial" w:eastAsia="宋体" w:hAnsi="Arial" w:cs="Arial"/>
                <w:color w:val="auto"/>
                <w:sz w:val="24"/>
                <w:szCs w:val="24"/>
              </w:rPr>
              <w:t>024</w:t>
            </w:r>
            <w:r>
              <w:rPr>
                <w:rFonts w:ascii="Arial" w:eastAsia="宋体" w:hAnsi="Arial" w:cs="Arial" w:hint="eastAsia"/>
                <w:color w:val="auto"/>
                <w:sz w:val="24"/>
                <w:szCs w:val="24"/>
              </w:rPr>
              <w:t>年</w:t>
            </w:r>
            <w:r>
              <w:rPr>
                <w:rFonts w:ascii="Arial" w:eastAsia="宋体" w:hAnsi="Arial" w:cs="Arial" w:hint="eastAsia"/>
                <w:color w:val="auto"/>
                <w:sz w:val="24"/>
                <w:szCs w:val="24"/>
              </w:rPr>
              <w:t>8</w:t>
            </w:r>
            <w:r>
              <w:rPr>
                <w:rFonts w:ascii="Arial" w:eastAsia="宋体" w:hAnsi="Arial" w:cs="Arial" w:hint="eastAsia"/>
                <w:color w:val="auto"/>
                <w:sz w:val="24"/>
                <w:szCs w:val="24"/>
              </w:rPr>
              <w:t>月</w:t>
            </w:r>
            <w:r>
              <w:rPr>
                <w:rFonts w:ascii="Arial" w:eastAsia="宋体" w:hAnsi="Arial" w:cs="Arial" w:hint="eastAsia"/>
                <w:color w:val="auto"/>
                <w:sz w:val="24"/>
                <w:szCs w:val="24"/>
              </w:rPr>
              <w:t>1</w:t>
            </w:r>
            <w:r>
              <w:rPr>
                <w:rFonts w:ascii="Arial" w:eastAsia="宋体" w:hAnsi="Arial" w:cs="Arial"/>
                <w:color w:val="auto"/>
                <w:sz w:val="24"/>
                <w:szCs w:val="24"/>
              </w:rPr>
              <w:t>2</w:t>
            </w:r>
            <w:r>
              <w:rPr>
                <w:rFonts w:ascii="Arial" w:eastAsia="宋体" w:hAnsi="Arial" w:cs="Arial" w:hint="eastAsia"/>
                <w:color w:val="auto"/>
                <w:sz w:val="24"/>
                <w:szCs w:val="24"/>
              </w:rPr>
              <w:t>日</w:t>
            </w:r>
            <w:r w:rsidRPr="00D650EB">
              <w:rPr>
                <w:rFonts w:ascii="Arial" w:eastAsia="宋体" w:hAnsi="Arial" w:cs="Arial"/>
                <w:color w:val="auto"/>
                <w:sz w:val="24"/>
                <w:szCs w:val="24"/>
              </w:rPr>
              <w:t>14:00-15:00</w:t>
            </w:r>
            <w:r>
              <w:rPr>
                <w:rFonts w:ascii="Arial" w:eastAsia="宋体" w:hAnsi="Arial" w:cs="Arial" w:hint="eastAsia"/>
                <w:color w:val="auto"/>
                <w:sz w:val="24"/>
                <w:szCs w:val="24"/>
              </w:rPr>
              <w:t>、</w:t>
            </w:r>
            <w:r w:rsidRPr="00D650EB">
              <w:rPr>
                <w:rFonts w:ascii="Arial" w:eastAsia="宋体" w:hAnsi="Arial" w:cs="Arial"/>
                <w:color w:val="auto"/>
                <w:sz w:val="24"/>
                <w:szCs w:val="24"/>
              </w:rPr>
              <w:t>16:00-17:00</w:t>
            </w:r>
          </w:p>
          <w:p w14:paraId="2A8311B7" w14:textId="525FEC18" w:rsidR="00DA22FA" w:rsidRPr="00774DC6" w:rsidRDefault="00CC30BE" w:rsidP="00DA22FA">
            <w:pPr>
              <w:snapToGrid w:val="0"/>
              <w:spacing w:after="0" w:line="360" w:lineRule="auto"/>
              <w:ind w:left="120" w:hangingChars="50" w:hanging="120"/>
              <w:jc w:val="both"/>
              <w:rPr>
                <w:rFonts w:ascii="Arial" w:eastAsia="宋体" w:hAnsi="Arial" w:cs="Arial"/>
                <w:color w:val="auto"/>
                <w:sz w:val="24"/>
                <w:szCs w:val="24"/>
              </w:rPr>
            </w:pPr>
            <w:r w:rsidRPr="00774DC6">
              <w:rPr>
                <w:rFonts w:ascii="Arial" w:eastAsia="宋体" w:hAnsi="Arial" w:cs="Arial"/>
                <w:color w:val="auto"/>
                <w:sz w:val="24"/>
                <w:szCs w:val="24"/>
              </w:rPr>
              <w:t>202</w:t>
            </w:r>
            <w:r w:rsidR="00D85F53" w:rsidRPr="00774DC6">
              <w:rPr>
                <w:rFonts w:ascii="Arial" w:eastAsia="宋体" w:hAnsi="Arial" w:cs="Arial"/>
                <w:color w:val="auto"/>
                <w:sz w:val="24"/>
                <w:szCs w:val="24"/>
              </w:rPr>
              <w:t>4</w:t>
            </w:r>
            <w:r w:rsidRPr="00774DC6">
              <w:rPr>
                <w:rFonts w:ascii="Arial" w:eastAsia="宋体" w:hAnsi="Arial" w:cs="Arial"/>
                <w:color w:val="auto"/>
                <w:sz w:val="24"/>
                <w:szCs w:val="24"/>
              </w:rPr>
              <w:t>年</w:t>
            </w:r>
            <w:r w:rsidR="009C4E66">
              <w:rPr>
                <w:rFonts w:ascii="Arial" w:eastAsia="宋体" w:hAnsi="Arial" w:cs="Arial"/>
                <w:color w:val="auto"/>
                <w:sz w:val="24"/>
                <w:szCs w:val="24"/>
              </w:rPr>
              <w:t>8</w:t>
            </w:r>
            <w:r w:rsidRPr="00774DC6">
              <w:rPr>
                <w:rFonts w:ascii="Arial" w:eastAsia="宋体" w:hAnsi="Arial" w:cs="Arial"/>
                <w:color w:val="auto"/>
                <w:sz w:val="24"/>
                <w:szCs w:val="24"/>
              </w:rPr>
              <w:t>月</w:t>
            </w:r>
            <w:r w:rsidR="00086E6E">
              <w:rPr>
                <w:rFonts w:ascii="Arial" w:eastAsia="宋体" w:hAnsi="Arial" w:cs="Arial"/>
                <w:color w:val="auto"/>
                <w:sz w:val="24"/>
                <w:szCs w:val="24"/>
              </w:rPr>
              <w:t>13</w:t>
            </w:r>
            <w:r w:rsidR="00062A7B">
              <w:rPr>
                <w:rFonts w:ascii="Arial" w:eastAsia="宋体" w:hAnsi="Arial" w:cs="Arial" w:hint="eastAsia"/>
                <w:color w:val="auto"/>
                <w:sz w:val="24"/>
                <w:szCs w:val="24"/>
              </w:rPr>
              <w:t>日</w:t>
            </w:r>
            <w:r w:rsidR="00086E6E">
              <w:rPr>
                <w:rFonts w:ascii="Arial" w:eastAsia="宋体" w:hAnsi="Arial" w:cs="Arial"/>
                <w:color w:val="auto"/>
                <w:sz w:val="24"/>
                <w:szCs w:val="24"/>
              </w:rPr>
              <w:t>14</w:t>
            </w:r>
            <w:r w:rsidR="00062A7B">
              <w:rPr>
                <w:rFonts w:ascii="Arial" w:eastAsia="宋体" w:hAnsi="Arial" w:cs="Arial"/>
                <w:color w:val="auto"/>
                <w:sz w:val="24"/>
                <w:szCs w:val="24"/>
              </w:rPr>
              <w:t>:00</w:t>
            </w:r>
            <w:r w:rsidR="00777F8A">
              <w:rPr>
                <w:rFonts w:ascii="Arial" w:eastAsia="宋体" w:hAnsi="Arial" w:cs="Arial" w:hint="eastAsia"/>
                <w:color w:val="auto"/>
                <w:sz w:val="24"/>
                <w:szCs w:val="24"/>
              </w:rPr>
              <w:t>-</w:t>
            </w:r>
            <w:r w:rsidR="00086E6E">
              <w:rPr>
                <w:rFonts w:ascii="Arial" w:eastAsia="宋体" w:hAnsi="Arial" w:cs="Arial"/>
                <w:color w:val="auto"/>
                <w:sz w:val="24"/>
                <w:szCs w:val="24"/>
              </w:rPr>
              <w:t>15</w:t>
            </w:r>
            <w:r w:rsidR="00451965">
              <w:rPr>
                <w:rFonts w:ascii="Arial" w:eastAsia="宋体" w:hAnsi="Arial" w:cs="Arial"/>
                <w:color w:val="auto"/>
                <w:sz w:val="24"/>
                <w:szCs w:val="24"/>
              </w:rPr>
              <w:t>:00</w:t>
            </w:r>
            <w:r w:rsidR="00DA22FA">
              <w:rPr>
                <w:rFonts w:ascii="Arial" w:eastAsia="宋体" w:hAnsi="Arial" w:cs="Arial" w:hint="eastAsia"/>
                <w:color w:val="auto"/>
                <w:sz w:val="24"/>
                <w:szCs w:val="24"/>
              </w:rPr>
              <w:t>、</w:t>
            </w:r>
            <w:r w:rsidR="00DA22FA">
              <w:rPr>
                <w:rFonts w:ascii="Arial" w:eastAsia="宋体" w:hAnsi="Arial" w:cs="Arial" w:hint="eastAsia"/>
                <w:color w:val="auto"/>
                <w:sz w:val="24"/>
                <w:szCs w:val="24"/>
              </w:rPr>
              <w:t>1</w:t>
            </w:r>
            <w:r w:rsidR="00DA22FA">
              <w:rPr>
                <w:rFonts w:ascii="Arial" w:eastAsia="宋体" w:hAnsi="Arial" w:cs="Arial"/>
                <w:color w:val="auto"/>
                <w:sz w:val="24"/>
                <w:szCs w:val="24"/>
              </w:rPr>
              <w:t>6:00-17:00</w:t>
            </w:r>
          </w:p>
        </w:tc>
      </w:tr>
      <w:tr w:rsidR="00C22940" w:rsidRPr="00774DC6" w14:paraId="4B617252" w14:textId="77777777" w:rsidTr="00FE296A">
        <w:trPr>
          <w:trHeight w:val="938"/>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42BCCEB1" w14:textId="77777777" w:rsidR="00585A12" w:rsidRPr="00774DC6" w:rsidRDefault="00100B4C"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地点</w:t>
            </w:r>
          </w:p>
        </w:tc>
        <w:tc>
          <w:tcPr>
            <w:tcW w:w="8359" w:type="dxa"/>
            <w:tcBorders>
              <w:top w:val="single" w:sz="4" w:space="0" w:color="000000"/>
              <w:left w:val="single" w:sz="4" w:space="0" w:color="000000"/>
              <w:bottom w:val="single" w:sz="4" w:space="0" w:color="000000"/>
              <w:right w:val="single" w:sz="4" w:space="0" w:color="000000"/>
            </w:tcBorders>
            <w:vAlign w:val="center"/>
          </w:tcPr>
          <w:p w14:paraId="60522BA6" w14:textId="21B5E1FF" w:rsidR="00585A12" w:rsidRPr="00774DC6" w:rsidRDefault="00D650EB" w:rsidP="00CC115F">
            <w:pPr>
              <w:spacing w:after="0" w:line="276" w:lineRule="auto"/>
              <w:jc w:val="both"/>
              <w:rPr>
                <w:rFonts w:ascii="Arial" w:eastAsia="宋体" w:hAnsi="Arial" w:cs="Arial"/>
                <w:color w:val="auto"/>
                <w:sz w:val="24"/>
                <w:szCs w:val="24"/>
              </w:rPr>
            </w:pPr>
            <w:r>
              <w:rPr>
                <w:rFonts w:ascii="Arial" w:eastAsia="宋体" w:hAnsi="Arial" w:cs="Arial" w:hint="eastAsia"/>
                <w:color w:val="auto"/>
                <w:sz w:val="24"/>
                <w:szCs w:val="24"/>
              </w:rPr>
              <w:t>电话会议、</w:t>
            </w:r>
            <w:r w:rsidR="00086E6E">
              <w:rPr>
                <w:rFonts w:ascii="Arial" w:eastAsia="宋体" w:hAnsi="Arial" w:cs="Arial" w:hint="eastAsia"/>
                <w:color w:val="auto"/>
                <w:sz w:val="24"/>
                <w:szCs w:val="24"/>
              </w:rPr>
              <w:t>公司会议室</w:t>
            </w:r>
          </w:p>
        </w:tc>
      </w:tr>
      <w:tr w:rsidR="008D787E" w:rsidRPr="00774DC6" w14:paraId="50334513" w14:textId="77777777" w:rsidTr="00777F8A">
        <w:trPr>
          <w:trHeight w:val="1797"/>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2A9630EE" w14:textId="1BAF2CD0" w:rsidR="008D787E" w:rsidRPr="00774DC6" w:rsidRDefault="008D787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接待人员</w:t>
            </w:r>
          </w:p>
        </w:tc>
        <w:tc>
          <w:tcPr>
            <w:tcW w:w="8359" w:type="dxa"/>
            <w:tcBorders>
              <w:top w:val="single" w:sz="4" w:space="0" w:color="000000"/>
              <w:left w:val="single" w:sz="4" w:space="0" w:color="000000"/>
              <w:bottom w:val="single" w:sz="4" w:space="0" w:color="000000"/>
              <w:right w:val="single" w:sz="4" w:space="0" w:color="000000"/>
            </w:tcBorders>
            <w:vAlign w:val="center"/>
          </w:tcPr>
          <w:p w14:paraId="6637A631" w14:textId="77777777" w:rsidR="00086E6E" w:rsidRDefault="00086E6E" w:rsidP="00086E6E">
            <w:pPr>
              <w:snapToGrid w:val="0"/>
              <w:spacing w:after="0" w:line="276" w:lineRule="auto"/>
              <w:rPr>
                <w:rFonts w:ascii="Arial" w:eastAsia="宋体" w:hAnsi="Arial" w:cs="Arial"/>
                <w:color w:val="auto"/>
                <w:sz w:val="24"/>
                <w:szCs w:val="24"/>
              </w:rPr>
            </w:pPr>
            <w:r>
              <w:rPr>
                <w:rFonts w:ascii="Arial" w:eastAsia="宋体" w:hAnsi="Arial" w:cs="Arial" w:hint="eastAsia"/>
                <w:color w:val="auto"/>
                <w:sz w:val="24"/>
                <w:szCs w:val="24"/>
              </w:rPr>
              <w:t>董事会秘书：李雄伟</w:t>
            </w:r>
          </w:p>
          <w:p w14:paraId="5EDFF127" w14:textId="27DF1D6B" w:rsidR="002C7C0A" w:rsidRPr="00086E6E" w:rsidRDefault="00086E6E" w:rsidP="00C14AB2">
            <w:pPr>
              <w:snapToGrid w:val="0"/>
              <w:spacing w:after="0" w:line="276" w:lineRule="auto"/>
              <w:rPr>
                <w:rFonts w:ascii="Arial" w:eastAsia="宋体" w:hAnsi="Arial" w:cs="Arial"/>
                <w:color w:val="auto"/>
                <w:sz w:val="24"/>
                <w:szCs w:val="24"/>
              </w:rPr>
            </w:pPr>
            <w:r>
              <w:rPr>
                <w:rFonts w:ascii="Arial" w:eastAsia="宋体" w:hAnsi="Arial" w:cs="Arial" w:hint="eastAsia"/>
                <w:color w:val="auto"/>
                <w:sz w:val="24"/>
                <w:szCs w:val="24"/>
              </w:rPr>
              <w:t>投资者关系总监：李律</w:t>
            </w:r>
          </w:p>
        </w:tc>
      </w:tr>
      <w:tr w:rsidR="00473A8E" w:rsidRPr="00774DC6" w14:paraId="1E3E6893" w14:textId="77777777" w:rsidTr="009C6D2E">
        <w:trPr>
          <w:trHeight w:val="1216"/>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6FA3B457" w14:textId="48DE9AFC" w:rsidR="00473A8E" w:rsidRPr="00774DC6" w:rsidRDefault="00473A8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sz w:val="24"/>
                <w:szCs w:val="24"/>
              </w:rPr>
              <w:t>投资者关系活动主要内容介绍</w:t>
            </w:r>
          </w:p>
        </w:tc>
        <w:tc>
          <w:tcPr>
            <w:tcW w:w="83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009B07" w14:textId="77777777" w:rsidR="00756FD0" w:rsidRDefault="00756FD0" w:rsidP="00552672">
            <w:pPr>
              <w:pStyle w:val="af5"/>
              <w:ind w:firstLine="480"/>
              <w:jc w:val="both"/>
              <w:rPr>
                <w:rFonts w:ascii="Arial" w:eastAsia="宋体" w:hAnsi="Arial" w:cs="Arial"/>
              </w:rPr>
            </w:pPr>
          </w:p>
          <w:p w14:paraId="17B1694F" w14:textId="58FB185D" w:rsidR="00825A02" w:rsidRDefault="00825A02" w:rsidP="00086E6E">
            <w:pPr>
              <w:pStyle w:val="af5"/>
              <w:ind w:firstLine="480"/>
              <w:jc w:val="both"/>
              <w:rPr>
                <w:rFonts w:ascii="Arial" w:eastAsia="宋体" w:hAnsi="Arial" w:cs="Arial"/>
              </w:rPr>
            </w:pPr>
            <w:r>
              <w:rPr>
                <w:rFonts w:ascii="Arial" w:eastAsia="宋体" w:hAnsi="Arial" w:cs="Arial" w:hint="eastAsia"/>
              </w:rPr>
              <w:t>2</w:t>
            </w:r>
            <w:r>
              <w:rPr>
                <w:rFonts w:ascii="Arial" w:eastAsia="宋体" w:hAnsi="Arial" w:cs="Arial"/>
              </w:rPr>
              <w:t>024</w:t>
            </w:r>
            <w:r>
              <w:rPr>
                <w:rFonts w:ascii="Arial" w:eastAsia="宋体" w:hAnsi="Arial" w:cs="Arial" w:hint="eastAsia"/>
              </w:rPr>
              <w:t>年</w:t>
            </w:r>
            <w:r>
              <w:rPr>
                <w:rFonts w:ascii="Arial" w:eastAsia="宋体" w:hAnsi="Arial" w:cs="Arial" w:hint="eastAsia"/>
              </w:rPr>
              <w:t>8</w:t>
            </w:r>
            <w:r>
              <w:rPr>
                <w:rFonts w:ascii="Arial" w:eastAsia="宋体" w:hAnsi="Arial" w:cs="Arial" w:hint="eastAsia"/>
              </w:rPr>
              <w:t>月</w:t>
            </w:r>
            <w:r>
              <w:rPr>
                <w:rFonts w:ascii="Arial" w:eastAsia="宋体" w:hAnsi="Arial" w:cs="Arial" w:hint="eastAsia"/>
              </w:rPr>
              <w:t>1</w:t>
            </w:r>
            <w:r>
              <w:rPr>
                <w:rFonts w:ascii="Arial" w:eastAsia="宋体" w:hAnsi="Arial" w:cs="Arial"/>
              </w:rPr>
              <w:t>2</w:t>
            </w:r>
            <w:r>
              <w:rPr>
                <w:rFonts w:ascii="Arial" w:eastAsia="宋体" w:hAnsi="Arial" w:cs="Arial" w:hint="eastAsia"/>
              </w:rPr>
              <w:t>日</w:t>
            </w:r>
            <w:r w:rsidR="00086E6E" w:rsidRPr="00E05BFF">
              <w:rPr>
                <w:rFonts w:ascii="Arial" w:eastAsia="宋体" w:hAnsi="Arial" w:cs="Arial" w:hint="eastAsia"/>
              </w:rPr>
              <w:t>投资者关系活动以</w:t>
            </w:r>
            <w:r>
              <w:rPr>
                <w:rFonts w:ascii="Arial" w:eastAsia="宋体" w:hAnsi="Arial" w:cs="Arial" w:hint="eastAsia"/>
              </w:rPr>
              <w:t>电话会议的方式进行。</w:t>
            </w:r>
          </w:p>
          <w:p w14:paraId="67D69563" w14:textId="207A542E" w:rsidR="00086E6E" w:rsidRDefault="00825A02" w:rsidP="00086E6E">
            <w:pPr>
              <w:pStyle w:val="af5"/>
              <w:ind w:firstLine="480"/>
              <w:jc w:val="both"/>
              <w:rPr>
                <w:rFonts w:ascii="Arial" w:eastAsia="宋体" w:hAnsi="Arial" w:cs="Arial"/>
              </w:rPr>
            </w:pPr>
            <w:r>
              <w:rPr>
                <w:rFonts w:ascii="Arial" w:eastAsia="宋体" w:hAnsi="Arial" w:cs="Arial" w:hint="eastAsia"/>
              </w:rPr>
              <w:t>2</w:t>
            </w:r>
            <w:r>
              <w:rPr>
                <w:rFonts w:ascii="Arial" w:eastAsia="宋体" w:hAnsi="Arial" w:cs="Arial"/>
              </w:rPr>
              <w:t>024</w:t>
            </w:r>
            <w:r>
              <w:rPr>
                <w:rFonts w:ascii="Arial" w:eastAsia="宋体" w:hAnsi="Arial" w:cs="Arial" w:hint="eastAsia"/>
              </w:rPr>
              <w:t>年</w:t>
            </w:r>
            <w:r>
              <w:rPr>
                <w:rFonts w:ascii="Arial" w:eastAsia="宋体" w:hAnsi="Arial" w:cs="Arial" w:hint="eastAsia"/>
              </w:rPr>
              <w:t>8</w:t>
            </w:r>
            <w:r>
              <w:rPr>
                <w:rFonts w:ascii="Arial" w:eastAsia="宋体" w:hAnsi="Arial" w:cs="Arial" w:hint="eastAsia"/>
              </w:rPr>
              <w:t>月</w:t>
            </w:r>
            <w:r>
              <w:rPr>
                <w:rFonts w:ascii="Arial" w:eastAsia="宋体" w:hAnsi="Arial" w:cs="Arial" w:hint="eastAsia"/>
              </w:rPr>
              <w:t>1</w:t>
            </w:r>
            <w:r>
              <w:rPr>
                <w:rFonts w:ascii="Arial" w:eastAsia="宋体" w:hAnsi="Arial" w:cs="Arial"/>
              </w:rPr>
              <w:t>3</w:t>
            </w:r>
            <w:r>
              <w:rPr>
                <w:rFonts w:ascii="Arial" w:eastAsia="宋体" w:hAnsi="Arial" w:cs="Arial" w:hint="eastAsia"/>
              </w:rPr>
              <w:t>日投资者关系活动以</w:t>
            </w:r>
            <w:r w:rsidR="00086E6E" w:rsidRPr="00E05BFF">
              <w:rPr>
                <w:rFonts w:ascii="Arial" w:eastAsia="宋体" w:hAnsi="Arial" w:cs="Arial" w:hint="eastAsia"/>
              </w:rPr>
              <w:t>特定对象现场参观调研的方式进行。首先接待人员带领投资者参观了公司展厅，展示了公司新能源充电桩产品的四大应用场景：第一是户用充电场景，展厅展出了</w:t>
            </w:r>
            <w:r w:rsidR="00086E6E" w:rsidRPr="00E05BFF">
              <w:rPr>
                <w:rFonts w:ascii="Arial" w:eastAsia="宋体" w:hAnsi="Arial" w:cs="Arial"/>
              </w:rPr>
              <w:t>7</w:t>
            </w:r>
            <w:r w:rsidR="00086E6E" w:rsidRPr="00802D9C">
              <w:rPr>
                <w:rFonts w:ascii="Arial" w:eastAsia="宋体" w:hAnsi="Arial" w:cs="Arial"/>
                <w:szCs w:val="28"/>
              </w:rPr>
              <w:t>k</w:t>
            </w:r>
            <w:r w:rsidR="00086E6E" w:rsidRPr="00E05BFF">
              <w:rPr>
                <w:rFonts w:ascii="Arial" w:eastAsia="宋体" w:hAnsi="Arial" w:cs="Arial"/>
              </w:rPr>
              <w:t>W-22</w:t>
            </w:r>
            <w:r w:rsidR="00086E6E" w:rsidRPr="00802D9C">
              <w:rPr>
                <w:rFonts w:ascii="Arial" w:eastAsia="宋体" w:hAnsi="Arial" w:cs="Arial"/>
                <w:szCs w:val="28"/>
              </w:rPr>
              <w:t>k</w:t>
            </w:r>
            <w:r w:rsidR="00086E6E" w:rsidRPr="00E05BFF">
              <w:rPr>
                <w:rFonts w:ascii="Arial" w:eastAsia="宋体" w:hAnsi="Arial" w:cs="Arial"/>
              </w:rPr>
              <w:t>W</w:t>
            </w:r>
            <w:r w:rsidR="00086E6E" w:rsidRPr="00E05BFF">
              <w:rPr>
                <w:rFonts w:ascii="Arial" w:eastAsia="宋体" w:hAnsi="Arial" w:cs="Arial" w:hint="eastAsia"/>
              </w:rPr>
              <w:t>欧标、美标的交流桩，户用充电桩主要通过</w:t>
            </w:r>
            <w:r w:rsidR="00086E6E" w:rsidRPr="00E05BFF">
              <w:rPr>
                <w:rFonts w:ascii="Arial" w:eastAsia="宋体" w:hAnsi="Arial" w:cs="Arial"/>
              </w:rPr>
              <w:t>Amazon</w:t>
            </w:r>
            <w:r w:rsidR="00086E6E" w:rsidRPr="00E05BFF">
              <w:rPr>
                <w:rFonts w:ascii="Arial" w:eastAsia="宋体" w:hAnsi="Arial" w:cs="Arial" w:hint="eastAsia"/>
              </w:rPr>
              <w:t>等电商平台销售。第二是目的地充电场景，主要为直流桩，用于人们办事途中充电，例如办公楼、酒店、商超停车场等。第三是在途充电场景，主要为高功率直流桩、超充桩，用于高速公路长途充电，展厅展出了高功率超充桩</w:t>
            </w:r>
            <w:r w:rsidR="00086E6E" w:rsidRPr="00E05BFF">
              <w:rPr>
                <w:rFonts w:ascii="Arial" w:eastAsia="宋体" w:hAnsi="Arial" w:cs="Arial"/>
              </w:rPr>
              <w:t xml:space="preserve">DC </w:t>
            </w:r>
            <w:proofErr w:type="spellStart"/>
            <w:r w:rsidR="00086E6E" w:rsidRPr="00E05BFF">
              <w:rPr>
                <w:rFonts w:ascii="Arial" w:eastAsia="宋体" w:hAnsi="Arial" w:cs="Arial"/>
              </w:rPr>
              <w:t>HiPower</w:t>
            </w:r>
            <w:proofErr w:type="spellEnd"/>
            <w:r w:rsidR="00086E6E" w:rsidRPr="00E05BFF">
              <w:rPr>
                <w:rFonts w:ascii="Arial" w:eastAsia="宋体" w:hAnsi="Arial" w:cs="Arial" w:hint="eastAsia"/>
              </w:rPr>
              <w:t>，满配功率可达</w:t>
            </w:r>
            <w:r w:rsidR="00086E6E" w:rsidRPr="00E05BFF">
              <w:rPr>
                <w:rFonts w:ascii="Arial" w:eastAsia="宋体" w:hAnsi="Arial" w:cs="Arial"/>
              </w:rPr>
              <w:t>640</w:t>
            </w:r>
            <w:r w:rsidR="00086E6E" w:rsidRPr="00802D9C">
              <w:rPr>
                <w:rFonts w:ascii="Arial" w:eastAsia="宋体" w:hAnsi="Arial" w:cs="Arial"/>
                <w:szCs w:val="28"/>
              </w:rPr>
              <w:t>k</w:t>
            </w:r>
            <w:r w:rsidR="00086E6E" w:rsidRPr="00E05BFF">
              <w:rPr>
                <w:rFonts w:ascii="Arial" w:eastAsia="宋体" w:hAnsi="Arial" w:cs="Arial"/>
              </w:rPr>
              <w:t>W</w:t>
            </w:r>
            <w:r w:rsidR="00086E6E" w:rsidRPr="00E05BFF">
              <w:rPr>
                <w:rFonts w:ascii="Arial" w:eastAsia="宋体" w:hAnsi="Arial" w:cs="Arial" w:hint="eastAsia"/>
              </w:rPr>
              <w:t>，单枪输出功率</w:t>
            </w:r>
            <w:r w:rsidR="00086E6E" w:rsidRPr="00E05BFF">
              <w:rPr>
                <w:rFonts w:ascii="Arial" w:eastAsia="宋体" w:hAnsi="Arial" w:cs="Arial"/>
              </w:rPr>
              <w:t xml:space="preserve"> 480</w:t>
            </w:r>
            <w:r w:rsidR="00086E6E" w:rsidRPr="00802D9C">
              <w:rPr>
                <w:rFonts w:ascii="Arial" w:eastAsia="宋体" w:hAnsi="Arial" w:cs="Arial"/>
                <w:szCs w:val="28"/>
              </w:rPr>
              <w:t>k</w:t>
            </w:r>
            <w:r w:rsidR="00086E6E" w:rsidRPr="00E05BFF">
              <w:rPr>
                <w:rFonts w:ascii="Arial" w:eastAsia="宋体" w:hAnsi="Arial" w:cs="Arial"/>
              </w:rPr>
              <w:t>W</w:t>
            </w:r>
            <w:r w:rsidR="00086E6E" w:rsidRPr="00E05BFF">
              <w:rPr>
                <w:rFonts w:ascii="Arial" w:eastAsia="宋体" w:hAnsi="Arial" w:cs="Arial" w:hint="eastAsia"/>
              </w:rPr>
              <w:t>，充电</w:t>
            </w:r>
            <w:r w:rsidR="00086E6E" w:rsidRPr="00E05BFF">
              <w:rPr>
                <w:rFonts w:ascii="Arial" w:eastAsia="宋体" w:hAnsi="Arial" w:cs="Arial"/>
              </w:rPr>
              <w:t>10</w:t>
            </w:r>
            <w:r w:rsidR="00086E6E" w:rsidRPr="00E05BFF">
              <w:rPr>
                <w:rFonts w:ascii="Arial" w:eastAsia="宋体" w:hAnsi="Arial" w:cs="Arial" w:hint="eastAsia"/>
              </w:rPr>
              <w:t>分钟即可补能</w:t>
            </w:r>
            <w:r w:rsidR="00086E6E" w:rsidRPr="00E05BFF">
              <w:rPr>
                <w:rFonts w:ascii="Arial" w:eastAsia="宋体" w:hAnsi="Arial" w:cs="Arial"/>
              </w:rPr>
              <w:t>400</w:t>
            </w:r>
            <w:r w:rsidR="00086E6E" w:rsidRPr="00E05BFF">
              <w:rPr>
                <w:rFonts w:ascii="Arial" w:eastAsia="宋体" w:hAnsi="Arial" w:cs="Arial" w:hint="eastAsia"/>
              </w:rPr>
              <w:t>公里（约</w:t>
            </w:r>
            <w:r w:rsidR="00086E6E" w:rsidRPr="00E05BFF">
              <w:rPr>
                <w:rFonts w:ascii="Arial" w:eastAsia="宋体" w:hAnsi="Arial" w:cs="Arial"/>
              </w:rPr>
              <w:t>250</w:t>
            </w:r>
            <w:r w:rsidR="00086E6E" w:rsidRPr="00E05BFF">
              <w:rPr>
                <w:rFonts w:ascii="Arial" w:eastAsia="宋体" w:hAnsi="Arial" w:cs="Arial" w:hint="eastAsia"/>
              </w:rPr>
              <w:t>英里），使得充电速度媲美加油。第四是车队充电场景，具备充电覆盖范围大、可移动等特点。</w:t>
            </w:r>
            <w:r w:rsidR="00086E6E">
              <w:rPr>
                <w:rFonts w:ascii="Arial" w:eastAsia="宋体" w:hAnsi="Arial" w:cs="Arial" w:hint="eastAsia"/>
              </w:rPr>
              <w:t>展厅参观结束后，</w:t>
            </w:r>
            <w:r w:rsidR="00086E6E" w:rsidRPr="00046782">
              <w:rPr>
                <w:rFonts w:ascii="Arial" w:eastAsia="宋体" w:hAnsi="Arial" w:cs="Arial" w:hint="eastAsia"/>
              </w:rPr>
              <w:t>接待人员与投资者</w:t>
            </w:r>
            <w:r w:rsidR="00086E6E">
              <w:rPr>
                <w:rFonts w:ascii="Arial" w:eastAsia="宋体" w:hAnsi="Arial" w:cs="Arial" w:hint="eastAsia"/>
              </w:rPr>
              <w:t>前往公司会议室</w:t>
            </w:r>
            <w:r w:rsidR="00086E6E" w:rsidRPr="00046782">
              <w:rPr>
                <w:rFonts w:ascii="Arial" w:eastAsia="宋体" w:hAnsi="Arial" w:cs="Arial" w:hint="eastAsia"/>
              </w:rPr>
              <w:t>进行</w:t>
            </w:r>
            <w:r w:rsidR="00086E6E">
              <w:rPr>
                <w:rFonts w:ascii="Arial" w:eastAsia="宋体" w:hAnsi="Arial" w:cs="Arial" w:hint="eastAsia"/>
              </w:rPr>
              <w:t>了</w:t>
            </w:r>
            <w:r w:rsidR="00086E6E" w:rsidRPr="00046782">
              <w:rPr>
                <w:rFonts w:ascii="Arial" w:eastAsia="宋体" w:hAnsi="Arial" w:cs="Arial" w:hint="eastAsia"/>
              </w:rPr>
              <w:t>沟通交流，主要内容如下：</w:t>
            </w:r>
          </w:p>
          <w:p w14:paraId="33EB0D91" w14:textId="77777777" w:rsidR="00086E6E" w:rsidRDefault="00086E6E" w:rsidP="00086E6E">
            <w:pPr>
              <w:pStyle w:val="af5"/>
              <w:ind w:firstLine="480"/>
              <w:jc w:val="both"/>
              <w:rPr>
                <w:rFonts w:ascii="Arial" w:eastAsia="宋体" w:hAnsi="Arial" w:cs="Arial"/>
              </w:rPr>
            </w:pPr>
          </w:p>
          <w:p w14:paraId="481F0D57" w14:textId="64727E77" w:rsidR="005A594E" w:rsidRDefault="005A594E" w:rsidP="00C1104C">
            <w:pPr>
              <w:pStyle w:val="af5"/>
              <w:ind w:firstLine="482"/>
              <w:jc w:val="both"/>
              <w:rPr>
                <w:rFonts w:ascii="Arial" w:eastAsia="宋体" w:hAnsi="Arial" w:cs="Arial"/>
                <w:b/>
                <w:bCs/>
              </w:rPr>
            </w:pPr>
            <w:r>
              <w:rPr>
                <w:rFonts w:ascii="Arial" w:eastAsia="宋体" w:hAnsi="Arial" w:cs="Arial" w:hint="eastAsia"/>
                <w:b/>
                <w:bCs/>
              </w:rPr>
              <w:t>问题一：公司如何看待美国市场面临的政治、经济风险？</w:t>
            </w:r>
          </w:p>
          <w:p w14:paraId="5026E611" w14:textId="7709B332" w:rsidR="00357735" w:rsidRDefault="00357735" w:rsidP="00865FE1">
            <w:pPr>
              <w:pStyle w:val="af5"/>
              <w:ind w:firstLine="480"/>
              <w:jc w:val="both"/>
              <w:rPr>
                <w:rFonts w:ascii="Arial" w:eastAsia="宋体" w:hAnsi="Arial" w:cs="Arial"/>
              </w:rPr>
            </w:pPr>
            <w:r>
              <w:rPr>
                <w:rFonts w:ascii="Arial" w:eastAsia="宋体" w:hAnsi="Arial" w:cs="Arial" w:hint="eastAsia"/>
              </w:rPr>
              <w:t>首先，宏观层面</w:t>
            </w:r>
            <w:r w:rsidR="005125AD">
              <w:rPr>
                <w:rFonts w:ascii="Arial" w:eastAsia="宋体" w:hAnsi="Arial" w:cs="Arial" w:hint="eastAsia"/>
              </w:rPr>
              <w:t>上</w:t>
            </w:r>
            <w:r>
              <w:rPr>
                <w:rFonts w:ascii="Arial" w:eastAsia="宋体" w:hAnsi="Arial" w:cs="Arial" w:hint="eastAsia"/>
              </w:rPr>
              <w:t>，</w:t>
            </w:r>
            <w:r w:rsidR="005125AD">
              <w:rPr>
                <w:rFonts w:ascii="Arial" w:eastAsia="宋体" w:hAnsi="Arial" w:cs="Arial" w:hint="eastAsia"/>
              </w:rPr>
              <w:t>无论从全球的</w:t>
            </w:r>
            <w:r w:rsidR="005125AD" w:rsidRPr="005125AD">
              <w:rPr>
                <w:rFonts w:ascii="Arial" w:eastAsia="宋体" w:hAnsi="Arial" w:cs="Arial" w:hint="eastAsia"/>
              </w:rPr>
              <w:t>环境保护、能源安全、技术进步</w:t>
            </w:r>
            <w:r w:rsidR="00F96602">
              <w:rPr>
                <w:rFonts w:ascii="Arial" w:eastAsia="宋体" w:hAnsi="Arial" w:cs="Arial" w:hint="eastAsia"/>
              </w:rPr>
              <w:t>方面</w:t>
            </w:r>
            <w:r w:rsidR="00720E23">
              <w:rPr>
                <w:rFonts w:ascii="Arial" w:eastAsia="宋体" w:hAnsi="Arial" w:cs="Arial" w:hint="eastAsia"/>
              </w:rPr>
              <w:t>，还是电动汽车的</w:t>
            </w:r>
            <w:r w:rsidR="005125AD">
              <w:rPr>
                <w:rFonts w:ascii="Arial" w:eastAsia="宋体" w:hAnsi="Arial" w:cs="Arial" w:hint="eastAsia"/>
              </w:rPr>
              <w:t>综合成本效益</w:t>
            </w:r>
            <w:r w:rsidR="005125AD" w:rsidRPr="005125AD">
              <w:rPr>
                <w:rFonts w:ascii="Arial" w:eastAsia="宋体" w:hAnsi="Arial" w:cs="Arial" w:hint="eastAsia"/>
              </w:rPr>
              <w:t>以及市场需求等多个方面来看</w:t>
            </w:r>
            <w:r w:rsidR="005125AD">
              <w:rPr>
                <w:rFonts w:ascii="Arial" w:eastAsia="宋体" w:hAnsi="Arial" w:cs="Arial" w:hint="eastAsia"/>
              </w:rPr>
              <w:t>，</w:t>
            </w:r>
            <w:r w:rsidRPr="00357735">
              <w:rPr>
                <w:rFonts w:ascii="Arial" w:eastAsia="宋体" w:hAnsi="Arial" w:cs="Arial" w:hint="eastAsia"/>
              </w:rPr>
              <w:t>汽车电动化是</w:t>
            </w:r>
            <w:r>
              <w:rPr>
                <w:rFonts w:ascii="Arial" w:eastAsia="宋体" w:hAnsi="Arial" w:cs="Arial" w:hint="eastAsia"/>
              </w:rPr>
              <w:t>发</w:t>
            </w:r>
            <w:r w:rsidRPr="00357735">
              <w:rPr>
                <w:rFonts w:ascii="Arial" w:eastAsia="宋体" w:hAnsi="Arial" w:cs="Arial" w:hint="eastAsia"/>
              </w:rPr>
              <w:t>展</w:t>
            </w:r>
            <w:r>
              <w:rPr>
                <w:rFonts w:ascii="Arial" w:eastAsia="宋体" w:hAnsi="Arial" w:cs="Arial" w:hint="eastAsia"/>
              </w:rPr>
              <w:t>的必然</w:t>
            </w:r>
            <w:r w:rsidRPr="00357735">
              <w:rPr>
                <w:rFonts w:ascii="Arial" w:eastAsia="宋体" w:hAnsi="Arial" w:cs="Arial" w:hint="eastAsia"/>
              </w:rPr>
              <w:t>趋势，</w:t>
            </w:r>
            <w:r w:rsidR="005125AD">
              <w:rPr>
                <w:rFonts w:ascii="Arial" w:eastAsia="宋体" w:hAnsi="Arial" w:cs="Arial" w:hint="eastAsia"/>
              </w:rPr>
              <w:t>全球主要国家政府、大型工商业企业、商用车队等都已确立了明确的电动化目标，这一趋势是不可逆的。</w:t>
            </w:r>
            <w:r w:rsidR="005125AD">
              <w:rPr>
                <w:rFonts w:ascii="Arial" w:eastAsia="宋体" w:hAnsi="Arial" w:cs="Arial"/>
              </w:rPr>
              <w:t xml:space="preserve"> </w:t>
            </w:r>
          </w:p>
          <w:p w14:paraId="01372888" w14:textId="2C857E20" w:rsidR="005125AD" w:rsidRPr="005125AD" w:rsidRDefault="005125AD" w:rsidP="00865FE1">
            <w:pPr>
              <w:pStyle w:val="af5"/>
              <w:ind w:firstLine="480"/>
              <w:jc w:val="both"/>
              <w:rPr>
                <w:rFonts w:ascii="Arial" w:eastAsia="宋体" w:hAnsi="Arial" w:cs="Arial"/>
              </w:rPr>
            </w:pPr>
            <w:r w:rsidRPr="00865FE1">
              <w:rPr>
                <w:rFonts w:ascii="Arial" w:eastAsia="宋体" w:hAnsi="Arial" w:cs="Arial" w:hint="eastAsia"/>
              </w:rPr>
              <w:lastRenderedPageBreak/>
              <w:t>海外市场强调专业性和产品力，强者恒强</w:t>
            </w:r>
            <w:r>
              <w:rPr>
                <w:rFonts w:ascii="Arial" w:eastAsia="宋体" w:hAnsi="Arial" w:cs="Arial" w:hint="eastAsia"/>
              </w:rPr>
              <w:t>，</w:t>
            </w:r>
            <w:r w:rsidR="00357735" w:rsidRPr="00357735">
              <w:rPr>
                <w:rFonts w:ascii="Arial" w:eastAsia="宋体" w:hAnsi="Arial" w:cs="Arial" w:hint="eastAsia"/>
              </w:rPr>
              <w:t>公司</w:t>
            </w:r>
            <w:r w:rsidR="00357735">
              <w:rPr>
                <w:rFonts w:ascii="Arial" w:eastAsia="宋体" w:hAnsi="Arial" w:cs="Arial" w:hint="eastAsia"/>
              </w:rPr>
              <w:t>自成立以来自带全球化基因，</w:t>
            </w:r>
            <w:r>
              <w:rPr>
                <w:rFonts w:ascii="Arial" w:eastAsia="宋体" w:hAnsi="Arial" w:cs="Arial" w:hint="eastAsia"/>
              </w:rPr>
              <w:t>长期深耕海外市场，对海外市场具有深刻的洞察与理解，</w:t>
            </w:r>
            <w:r w:rsidR="009E5F30">
              <w:rPr>
                <w:rFonts w:ascii="Arial" w:eastAsia="宋体" w:hAnsi="Arial" w:cs="Arial" w:hint="eastAsia"/>
              </w:rPr>
              <w:t>并</w:t>
            </w:r>
            <w:r w:rsidRPr="005125AD">
              <w:rPr>
                <w:rFonts w:ascii="Arial" w:eastAsia="宋体" w:hAnsi="Arial" w:cs="Arial" w:hint="eastAsia"/>
              </w:rPr>
              <w:t>凭借产品、技术、品牌、市场、服务以及全球供应等系统性优势，构筑</w:t>
            </w:r>
            <w:r>
              <w:rPr>
                <w:rFonts w:ascii="Arial" w:eastAsia="宋体" w:hAnsi="Arial" w:cs="Arial" w:hint="eastAsia"/>
              </w:rPr>
              <w:t>了</w:t>
            </w:r>
            <w:r w:rsidRPr="005125AD">
              <w:rPr>
                <w:rFonts w:ascii="Arial" w:eastAsia="宋体" w:hAnsi="Arial" w:cs="Arial" w:hint="eastAsia"/>
              </w:rPr>
              <w:t>中长期竞争壁垒</w:t>
            </w:r>
            <w:r>
              <w:rPr>
                <w:rFonts w:ascii="Arial" w:eastAsia="宋体" w:hAnsi="Arial" w:cs="Arial" w:hint="eastAsia"/>
              </w:rPr>
              <w:t>。</w:t>
            </w:r>
          </w:p>
          <w:p w14:paraId="0A0965D2" w14:textId="7CDEEB88" w:rsidR="00357735" w:rsidRDefault="005125AD" w:rsidP="00865FE1">
            <w:pPr>
              <w:pStyle w:val="af5"/>
              <w:ind w:firstLine="480"/>
              <w:jc w:val="both"/>
              <w:rPr>
                <w:rFonts w:ascii="Arial" w:eastAsia="宋体" w:hAnsi="Arial" w:cs="Arial"/>
              </w:rPr>
            </w:pPr>
            <w:r>
              <w:rPr>
                <w:rFonts w:ascii="Arial" w:eastAsia="宋体" w:hAnsi="Arial" w:cs="Arial" w:hint="eastAsia"/>
              </w:rPr>
              <w:t>从供应链方面，公司</w:t>
            </w:r>
            <w:r w:rsidR="00357735" w:rsidRPr="00357735">
              <w:rPr>
                <w:rFonts w:ascii="Arial" w:eastAsia="宋体" w:hAnsi="Arial" w:cs="Arial" w:hint="eastAsia"/>
              </w:rPr>
              <w:t>自</w:t>
            </w:r>
            <w:r w:rsidR="00357735" w:rsidRPr="00357735">
              <w:rPr>
                <w:rFonts w:ascii="Arial" w:eastAsia="宋体" w:hAnsi="Arial" w:cs="Arial"/>
              </w:rPr>
              <w:t>2018</w:t>
            </w:r>
            <w:r w:rsidR="00357735" w:rsidRPr="00357735">
              <w:rPr>
                <w:rFonts w:ascii="Arial" w:eastAsia="宋体" w:hAnsi="Arial" w:cs="Arial" w:hint="eastAsia"/>
              </w:rPr>
              <w:t>年起前瞻性地启动海外工厂的布局。截至目前，公司已在中国深圳、越南海防、美国北卡罗来纳州建立了三大生产基地，构筑了覆盖全球的生产及供应链网络。其中，越南工厂具备供应链管理、运营管理、本地化生产模式以及出口低关税等优势，美国工厂具备美国本土生产及客户服务优势，是公司应对国际贸易环境变化的不确定性风险的一系列重要战略布局。公司将对各国政策导向保持密切关注，同时加强底线思维，持续评估并提升重点市场区域的产销自循环能力，实现供应链系统的多重备份。</w:t>
            </w:r>
          </w:p>
          <w:p w14:paraId="5AA12767" w14:textId="70D9BCB3" w:rsidR="00357735" w:rsidRDefault="00357735" w:rsidP="00865FE1">
            <w:pPr>
              <w:pStyle w:val="af5"/>
              <w:ind w:firstLine="480"/>
              <w:jc w:val="both"/>
              <w:rPr>
                <w:rFonts w:ascii="Arial" w:eastAsia="宋体" w:hAnsi="Arial" w:cs="Arial"/>
              </w:rPr>
            </w:pPr>
            <w:r w:rsidRPr="00357735">
              <w:rPr>
                <w:rFonts w:ascii="Arial" w:eastAsia="宋体" w:hAnsi="Arial" w:cs="Arial" w:hint="eastAsia"/>
              </w:rPr>
              <w:t>在销售端，</w:t>
            </w:r>
            <w:r w:rsidR="005125AD" w:rsidRPr="005125AD">
              <w:rPr>
                <w:rFonts w:ascii="Arial" w:eastAsia="宋体" w:hAnsi="Arial" w:cs="Arial" w:hint="eastAsia"/>
              </w:rPr>
              <w:t>公司已在全球建立了超</w:t>
            </w:r>
            <w:r w:rsidR="005125AD" w:rsidRPr="005125AD">
              <w:rPr>
                <w:rFonts w:ascii="Arial" w:eastAsia="宋体" w:hAnsi="Arial" w:cs="Arial"/>
              </w:rPr>
              <w:t>14</w:t>
            </w:r>
            <w:r w:rsidR="005125AD" w:rsidRPr="005125AD">
              <w:rPr>
                <w:rFonts w:ascii="Arial" w:eastAsia="宋体" w:hAnsi="Arial" w:cs="Arial" w:hint="eastAsia"/>
              </w:rPr>
              <w:t>个海外区域总部、销售平台和子公司</w:t>
            </w:r>
            <w:r w:rsidR="005125AD">
              <w:rPr>
                <w:rFonts w:ascii="Arial" w:eastAsia="宋体" w:hAnsi="Arial" w:cs="Arial" w:hint="eastAsia"/>
              </w:rPr>
              <w:t>，</w:t>
            </w:r>
            <w:r w:rsidR="00720E23">
              <w:rPr>
                <w:rFonts w:ascii="Arial" w:eastAsia="宋体" w:hAnsi="Arial" w:cs="Arial" w:hint="eastAsia"/>
              </w:rPr>
              <w:t>拥有</w:t>
            </w:r>
            <w:r w:rsidR="00720E23" w:rsidRPr="00720E23">
              <w:rPr>
                <w:rFonts w:ascii="Arial" w:eastAsia="宋体" w:hAnsi="Arial" w:cs="Arial" w:hint="eastAsia"/>
              </w:rPr>
              <w:t>成熟</w:t>
            </w:r>
            <w:r w:rsidR="00720E23">
              <w:rPr>
                <w:rFonts w:ascii="Arial" w:eastAsia="宋体" w:hAnsi="Arial" w:cs="Arial" w:hint="eastAsia"/>
              </w:rPr>
              <w:t>的</w:t>
            </w:r>
            <w:r w:rsidR="00720E23" w:rsidRPr="00720E23">
              <w:rPr>
                <w:rFonts w:ascii="Arial" w:eastAsia="宋体" w:hAnsi="Arial" w:cs="Arial" w:hint="eastAsia"/>
              </w:rPr>
              <w:t>渠道</w:t>
            </w:r>
            <w:r w:rsidR="00720E23">
              <w:rPr>
                <w:rFonts w:ascii="Arial" w:eastAsia="宋体" w:hAnsi="Arial" w:cs="Arial" w:hint="eastAsia"/>
              </w:rPr>
              <w:t>、大客户系统</w:t>
            </w:r>
            <w:r w:rsidR="00720E23" w:rsidRPr="00720E23">
              <w:rPr>
                <w:rFonts w:ascii="Arial" w:eastAsia="宋体" w:hAnsi="Arial" w:cs="Arial" w:hint="eastAsia"/>
              </w:rPr>
              <w:t>以及</w:t>
            </w:r>
            <w:r w:rsidR="002343C3">
              <w:rPr>
                <w:rFonts w:ascii="Arial" w:eastAsia="宋体" w:hAnsi="Arial" w:cs="Arial" w:hint="eastAsia"/>
              </w:rPr>
              <w:t>高效敏捷的</w:t>
            </w:r>
            <w:r w:rsidR="00720E23" w:rsidRPr="00720E23">
              <w:rPr>
                <w:rFonts w:ascii="Arial" w:eastAsia="宋体" w:hAnsi="Arial" w:cs="Arial" w:hint="eastAsia"/>
              </w:rPr>
              <w:t>本地化服务</w:t>
            </w:r>
            <w:r w:rsidR="0012597C">
              <w:rPr>
                <w:rFonts w:ascii="Arial" w:eastAsia="宋体" w:hAnsi="Arial" w:cs="Arial" w:hint="eastAsia"/>
              </w:rPr>
              <w:t>优势</w:t>
            </w:r>
            <w:r w:rsidR="00720E23">
              <w:rPr>
                <w:rFonts w:ascii="Arial" w:eastAsia="宋体" w:hAnsi="Arial" w:cs="Arial" w:hint="eastAsia"/>
              </w:rPr>
              <w:t>，</w:t>
            </w:r>
            <w:r w:rsidRPr="00357735">
              <w:rPr>
                <w:rFonts w:ascii="Arial" w:eastAsia="宋体" w:hAnsi="Arial" w:cs="Arial" w:hint="eastAsia"/>
              </w:rPr>
              <w:t>公司将采用更加灵活的销售策略，加大对企业</w:t>
            </w:r>
            <w:r>
              <w:rPr>
                <w:rFonts w:ascii="Arial" w:eastAsia="宋体" w:hAnsi="Arial" w:cs="Arial" w:hint="eastAsia"/>
              </w:rPr>
              <w:t>级、工商业</w:t>
            </w:r>
            <w:r w:rsidRPr="00357735">
              <w:rPr>
                <w:rFonts w:ascii="Arial" w:eastAsia="宋体" w:hAnsi="Arial" w:cs="Arial" w:hint="eastAsia"/>
              </w:rPr>
              <w:t>客户的开发</w:t>
            </w:r>
            <w:r>
              <w:rPr>
                <w:rFonts w:ascii="Arial" w:eastAsia="宋体" w:hAnsi="Arial" w:cs="Arial" w:hint="eastAsia"/>
              </w:rPr>
              <w:t>；另外，公司在全球其他地区如</w:t>
            </w:r>
            <w:r w:rsidRPr="00357735">
              <w:rPr>
                <w:rFonts w:ascii="Arial" w:eastAsia="宋体" w:hAnsi="Arial" w:cs="Arial" w:hint="eastAsia"/>
              </w:rPr>
              <w:t>欧洲、亚太、</w:t>
            </w:r>
            <w:r>
              <w:rPr>
                <w:rFonts w:ascii="Arial" w:eastAsia="宋体" w:hAnsi="Arial" w:cs="Arial" w:hint="eastAsia"/>
              </w:rPr>
              <w:t>中东等均有成熟的营销体系建设，将进一步推进全球市场多点开花，</w:t>
            </w:r>
            <w:r w:rsidRPr="00357735">
              <w:rPr>
                <w:rFonts w:ascii="Arial" w:eastAsia="宋体" w:hAnsi="Arial" w:cs="Arial" w:hint="eastAsia"/>
              </w:rPr>
              <w:t>降低单一市场风险。</w:t>
            </w:r>
          </w:p>
          <w:p w14:paraId="4C6FA181" w14:textId="77777777" w:rsidR="009E5F30" w:rsidRDefault="009E5F30" w:rsidP="00C1104C">
            <w:pPr>
              <w:pStyle w:val="af5"/>
              <w:ind w:firstLine="482"/>
              <w:jc w:val="both"/>
              <w:rPr>
                <w:rFonts w:ascii="Arial" w:eastAsia="宋体" w:hAnsi="Arial" w:cs="Arial"/>
                <w:b/>
                <w:bCs/>
              </w:rPr>
            </w:pPr>
          </w:p>
          <w:p w14:paraId="56C1003D" w14:textId="4723A9DB" w:rsidR="00C61AC7" w:rsidRDefault="005A594E" w:rsidP="00C1104C">
            <w:pPr>
              <w:pStyle w:val="af5"/>
              <w:ind w:firstLine="482"/>
              <w:jc w:val="both"/>
              <w:rPr>
                <w:rFonts w:ascii="Arial" w:eastAsia="宋体" w:hAnsi="Arial" w:cs="Arial"/>
                <w:b/>
                <w:bCs/>
              </w:rPr>
            </w:pPr>
            <w:r>
              <w:rPr>
                <w:rFonts w:ascii="Arial" w:eastAsia="宋体" w:hAnsi="Arial" w:cs="Arial" w:hint="eastAsia"/>
                <w:b/>
                <w:bCs/>
              </w:rPr>
              <w:t>问题</w:t>
            </w:r>
            <w:r w:rsidR="00C61AC7">
              <w:rPr>
                <w:rFonts w:ascii="Arial" w:eastAsia="宋体" w:hAnsi="Arial" w:cs="Arial" w:hint="eastAsia"/>
                <w:b/>
                <w:bCs/>
              </w:rPr>
              <w:t>二</w:t>
            </w:r>
            <w:r>
              <w:rPr>
                <w:rFonts w:ascii="Arial" w:eastAsia="宋体" w:hAnsi="Arial" w:cs="Arial" w:hint="eastAsia"/>
                <w:b/>
                <w:bCs/>
              </w:rPr>
              <w:t>：</w:t>
            </w:r>
            <w:r w:rsidR="00C61AC7">
              <w:rPr>
                <w:rFonts w:ascii="Arial" w:eastAsia="宋体" w:hAnsi="Arial" w:cs="Arial" w:hint="eastAsia"/>
                <w:b/>
                <w:bCs/>
              </w:rPr>
              <w:t>上半年公司各业务板块毛利率情况？</w:t>
            </w:r>
          </w:p>
          <w:p w14:paraId="4F83A077" w14:textId="1B8C6142" w:rsidR="00C61AC7" w:rsidRDefault="00C61AC7" w:rsidP="00C1104C">
            <w:pPr>
              <w:pStyle w:val="af5"/>
              <w:ind w:firstLine="480"/>
              <w:jc w:val="both"/>
              <w:rPr>
                <w:rFonts w:ascii="Arial" w:eastAsia="宋体" w:hAnsi="Arial" w:cs="Arial"/>
              </w:rPr>
            </w:pPr>
            <w:r>
              <w:rPr>
                <w:rFonts w:ascii="Arial" w:eastAsia="宋体" w:hAnsi="Arial" w:cs="Arial" w:hint="eastAsia"/>
              </w:rPr>
              <w:t>2</w:t>
            </w:r>
            <w:r>
              <w:rPr>
                <w:rFonts w:ascii="Arial" w:eastAsia="宋体" w:hAnsi="Arial" w:cs="Arial"/>
              </w:rPr>
              <w:t>024</w:t>
            </w:r>
            <w:r>
              <w:rPr>
                <w:rFonts w:ascii="Arial" w:eastAsia="宋体" w:hAnsi="Arial" w:cs="Arial" w:hint="eastAsia"/>
              </w:rPr>
              <w:t>年上半年，</w:t>
            </w:r>
            <w:r w:rsidRPr="00C1104C">
              <w:rPr>
                <w:rFonts w:ascii="Arial" w:eastAsia="宋体" w:hAnsi="Arial" w:cs="Arial" w:hint="eastAsia"/>
              </w:rPr>
              <w:t>公司毛利</w:t>
            </w:r>
            <w:r>
              <w:rPr>
                <w:rFonts w:ascii="Arial" w:eastAsia="宋体" w:hAnsi="Arial" w:cs="Arial" w:hint="eastAsia"/>
              </w:rPr>
              <w:t>情况</w:t>
            </w:r>
            <w:r w:rsidRPr="00C1104C">
              <w:rPr>
                <w:rFonts w:ascii="Arial" w:eastAsia="宋体" w:hAnsi="Arial" w:cs="Arial" w:hint="eastAsia"/>
              </w:rPr>
              <w:t>稳定，</w:t>
            </w:r>
            <w:r>
              <w:rPr>
                <w:rFonts w:ascii="Arial" w:eastAsia="宋体" w:hAnsi="Arial" w:cs="Arial" w:hint="eastAsia"/>
              </w:rPr>
              <w:t>数字诊断</w:t>
            </w:r>
            <w:r w:rsidRPr="00C1104C">
              <w:rPr>
                <w:rFonts w:ascii="Arial" w:eastAsia="宋体" w:hAnsi="Arial" w:cs="Arial" w:hint="eastAsia"/>
              </w:rPr>
              <w:t>业务保持市场领先地位，</w:t>
            </w:r>
            <w:r>
              <w:rPr>
                <w:rFonts w:ascii="Arial" w:eastAsia="宋体" w:hAnsi="Arial" w:cs="Arial" w:hint="eastAsia"/>
              </w:rPr>
              <w:t>毛利率</w:t>
            </w:r>
            <w:r w:rsidRPr="00C1104C">
              <w:rPr>
                <w:rFonts w:ascii="Arial" w:eastAsia="宋体" w:hAnsi="Arial" w:cs="Arial" w:hint="eastAsia"/>
              </w:rPr>
              <w:t>持续稳定在</w:t>
            </w:r>
            <w:r w:rsidRPr="00C1104C">
              <w:rPr>
                <w:rFonts w:ascii="Arial" w:eastAsia="宋体" w:hAnsi="Arial" w:cs="Arial"/>
              </w:rPr>
              <w:t>60%</w:t>
            </w:r>
            <w:r w:rsidRPr="00C1104C">
              <w:rPr>
                <w:rFonts w:ascii="Arial" w:eastAsia="宋体" w:hAnsi="Arial" w:cs="Arial" w:hint="eastAsia"/>
              </w:rPr>
              <w:t>左右</w:t>
            </w:r>
            <w:r>
              <w:rPr>
                <w:rFonts w:ascii="Arial" w:eastAsia="宋体" w:hAnsi="Arial" w:cs="Arial" w:hint="eastAsia"/>
              </w:rPr>
              <w:t>；数字能源业务</w:t>
            </w:r>
            <w:r w:rsidRPr="00C1104C">
              <w:rPr>
                <w:rFonts w:ascii="Arial" w:eastAsia="宋体" w:hAnsi="Arial" w:cs="Arial" w:hint="eastAsia"/>
              </w:rPr>
              <w:t>毛利率维持在</w:t>
            </w:r>
            <w:r w:rsidRPr="00C1104C">
              <w:rPr>
                <w:rFonts w:ascii="Arial" w:eastAsia="宋体" w:hAnsi="Arial" w:cs="Arial"/>
              </w:rPr>
              <w:t>37%~40%</w:t>
            </w:r>
            <w:r w:rsidRPr="00C1104C">
              <w:rPr>
                <w:rFonts w:ascii="Arial" w:eastAsia="宋体" w:hAnsi="Arial" w:cs="Arial" w:hint="eastAsia"/>
              </w:rPr>
              <w:t>的水平区间</w:t>
            </w:r>
            <w:r>
              <w:rPr>
                <w:rFonts w:ascii="Arial" w:eastAsia="宋体" w:hAnsi="Arial" w:cs="Arial" w:hint="eastAsia"/>
              </w:rPr>
              <w:t>；</w:t>
            </w:r>
            <w:r w:rsidRPr="00C1104C">
              <w:rPr>
                <w:rFonts w:ascii="Arial" w:eastAsia="宋体" w:hAnsi="Arial" w:cs="Arial" w:hint="eastAsia"/>
              </w:rPr>
              <w:t>上半年公司</w:t>
            </w:r>
            <w:r>
              <w:rPr>
                <w:rFonts w:ascii="Arial" w:eastAsia="宋体" w:hAnsi="Arial" w:cs="Arial" w:hint="eastAsia"/>
              </w:rPr>
              <w:t>实现综合</w:t>
            </w:r>
            <w:r w:rsidRPr="00C1104C">
              <w:rPr>
                <w:rFonts w:ascii="Arial" w:eastAsia="宋体" w:hAnsi="Arial" w:cs="Arial" w:hint="eastAsia"/>
              </w:rPr>
              <w:t>毛利率</w:t>
            </w:r>
            <w:r w:rsidRPr="00C1104C">
              <w:rPr>
                <w:rFonts w:ascii="Arial" w:eastAsia="宋体" w:hAnsi="Arial" w:cs="Arial"/>
              </w:rPr>
              <w:t>56.28%</w:t>
            </w:r>
            <w:r w:rsidRPr="00C1104C">
              <w:rPr>
                <w:rFonts w:ascii="Arial" w:eastAsia="宋体" w:hAnsi="Arial" w:cs="Arial" w:hint="eastAsia"/>
              </w:rPr>
              <w:t>。</w:t>
            </w:r>
          </w:p>
          <w:p w14:paraId="6D78BA81" w14:textId="4B97C7D2" w:rsidR="00DA22FA" w:rsidRDefault="00DA22FA" w:rsidP="00C1104C">
            <w:pPr>
              <w:pStyle w:val="af5"/>
              <w:ind w:firstLine="480"/>
              <w:jc w:val="both"/>
              <w:rPr>
                <w:rFonts w:ascii="Arial" w:eastAsia="宋体" w:hAnsi="Arial" w:cs="Arial"/>
              </w:rPr>
            </w:pPr>
          </w:p>
          <w:p w14:paraId="18D99EEE" w14:textId="36FB1140" w:rsidR="00DA22FA" w:rsidRPr="00DA22FA" w:rsidRDefault="00DA22FA" w:rsidP="00C1104C">
            <w:pPr>
              <w:pStyle w:val="af5"/>
              <w:ind w:firstLine="482"/>
              <w:jc w:val="both"/>
              <w:rPr>
                <w:rFonts w:ascii="Arial" w:eastAsia="宋体" w:hAnsi="Arial" w:cs="Arial"/>
                <w:b/>
                <w:bCs/>
              </w:rPr>
            </w:pPr>
            <w:r w:rsidRPr="00DA22FA">
              <w:rPr>
                <w:rFonts w:ascii="Arial" w:eastAsia="宋体" w:hAnsi="Arial" w:cs="Arial" w:hint="eastAsia"/>
                <w:b/>
                <w:bCs/>
              </w:rPr>
              <w:t>问题三：数字</w:t>
            </w:r>
            <w:r w:rsidR="00612DE5">
              <w:rPr>
                <w:rFonts w:ascii="Arial" w:eastAsia="宋体" w:hAnsi="Arial" w:cs="Arial" w:hint="eastAsia"/>
                <w:b/>
                <w:bCs/>
              </w:rPr>
              <w:t>能源</w:t>
            </w:r>
            <w:r w:rsidRPr="00DA22FA">
              <w:rPr>
                <w:rFonts w:ascii="Arial" w:eastAsia="宋体" w:hAnsi="Arial" w:cs="Arial" w:hint="eastAsia"/>
                <w:b/>
                <w:bCs/>
              </w:rPr>
              <w:t>业务毛利率同比上升的原因？</w:t>
            </w:r>
          </w:p>
          <w:p w14:paraId="06F15DC4" w14:textId="799D2152" w:rsidR="00DA22FA" w:rsidRDefault="00DA22FA" w:rsidP="00DA22FA">
            <w:pPr>
              <w:pStyle w:val="af5"/>
              <w:ind w:firstLine="480"/>
              <w:jc w:val="both"/>
              <w:rPr>
                <w:rFonts w:ascii="Arial" w:eastAsia="宋体" w:hAnsi="Arial" w:cs="Arial"/>
              </w:rPr>
            </w:pPr>
            <w:r>
              <w:rPr>
                <w:rFonts w:ascii="Arial" w:eastAsia="宋体" w:hAnsi="Arial" w:cs="Arial" w:hint="eastAsia"/>
              </w:rPr>
              <w:t>首先</w:t>
            </w:r>
            <w:r w:rsidRPr="009E5F30">
              <w:rPr>
                <w:rFonts w:ascii="Arial" w:eastAsia="宋体" w:hAnsi="Arial" w:cs="Arial" w:hint="eastAsia"/>
              </w:rPr>
              <w:t>，去年同期</w:t>
            </w:r>
            <w:r>
              <w:rPr>
                <w:rFonts w:ascii="Arial" w:eastAsia="宋体" w:hAnsi="Arial" w:cs="Arial" w:hint="eastAsia"/>
              </w:rPr>
              <w:t>越南工厂转产未完成，</w:t>
            </w:r>
            <w:r w:rsidRPr="009E5F30">
              <w:rPr>
                <w:rFonts w:ascii="Arial" w:eastAsia="宋体" w:hAnsi="Arial" w:cs="Arial" w:hint="eastAsia"/>
              </w:rPr>
              <w:t>很多发往美国的充电桩产品从深圳工厂发货，</w:t>
            </w:r>
            <w:r>
              <w:rPr>
                <w:rFonts w:ascii="Arial" w:eastAsia="宋体" w:hAnsi="Arial" w:cs="Arial" w:hint="eastAsia"/>
              </w:rPr>
              <w:t>去年同期的毛利率</w:t>
            </w:r>
            <w:r w:rsidRPr="009E5F30">
              <w:rPr>
                <w:rFonts w:ascii="Arial" w:eastAsia="宋体" w:hAnsi="Arial" w:cs="Arial" w:hint="eastAsia"/>
              </w:rPr>
              <w:t>受到了加征关税的影响</w:t>
            </w:r>
            <w:r>
              <w:rPr>
                <w:rFonts w:ascii="Arial" w:eastAsia="宋体" w:hAnsi="Arial" w:cs="Arial" w:hint="eastAsia"/>
              </w:rPr>
              <w:t>，本报告期该影响已消除。其次，</w:t>
            </w:r>
            <w:r w:rsidRPr="009E5F30">
              <w:rPr>
                <w:rFonts w:ascii="Arial" w:eastAsia="宋体" w:hAnsi="Arial" w:cs="Arial" w:hint="eastAsia"/>
              </w:rPr>
              <w:t>去年较多项目采用空运的方式，今年公司加强了对物流的精细化管控，以海运为主。</w:t>
            </w:r>
            <w:r>
              <w:rPr>
                <w:rFonts w:ascii="Arial" w:eastAsia="宋体" w:hAnsi="Arial" w:cs="Arial" w:hint="eastAsia"/>
              </w:rPr>
              <w:t>此外，</w:t>
            </w:r>
            <w:r w:rsidRPr="009E5F30">
              <w:rPr>
                <w:rFonts w:ascii="Arial" w:eastAsia="宋体" w:hAnsi="Arial" w:cs="Arial" w:hint="eastAsia"/>
              </w:rPr>
              <w:t>产品结构</w:t>
            </w:r>
            <w:r>
              <w:rPr>
                <w:rFonts w:ascii="Arial" w:eastAsia="宋体" w:hAnsi="Arial" w:cs="Arial" w:hint="eastAsia"/>
              </w:rPr>
              <w:t>的变化</w:t>
            </w:r>
            <w:r w:rsidR="00825A02">
              <w:rPr>
                <w:rFonts w:ascii="Arial" w:eastAsia="宋体" w:hAnsi="Arial" w:cs="Arial" w:hint="eastAsia"/>
              </w:rPr>
              <w:t>、北美</w:t>
            </w:r>
            <w:r w:rsidR="001C7AE5">
              <w:rPr>
                <w:rFonts w:ascii="Arial" w:eastAsia="宋体" w:hAnsi="Arial" w:cs="Arial" w:hint="eastAsia"/>
              </w:rPr>
              <w:t>地区</w:t>
            </w:r>
            <w:r w:rsidR="00825A02">
              <w:rPr>
                <w:rFonts w:ascii="Arial" w:eastAsia="宋体" w:hAnsi="Arial" w:cs="Arial" w:hint="eastAsia"/>
              </w:rPr>
              <w:t>收入占比提升</w:t>
            </w:r>
            <w:r>
              <w:rPr>
                <w:rFonts w:ascii="Arial" w:eastAsia="宋体" w:hAnsi="Arial" w:cs="Arial" w:hint="eastAsia"/>
              </w:rPr>
              <w:t>以及商务降本等方面均</w:t>
            </w:r>
            <w:r w:rsidRPr="009E5F30">
              <w:rPr>
                <w:rFonts w:ascii="Arial" w:eastAsia="宋体" w:hAnsi="Arial" w:cs="Arial" w:hint="eastAsia"/>
              </w:rPr>
              <w:t>对</w:t>
            </w:r>
            <w:r>
              <w:rPr>
                <w:rFonts w:ascii="Arial" w:eastAsia="宋体" w:hAnsi="Arial" w:cs="Arial" w:hint="eastAsia"/>
              </w:rPr>
              <w:t>本期</w:t>
            </w:r>
            <w:r w:rsidRPr="009E5F30">
              <w:rPr>
                <w:rFonts w:ascii="Arial" w:eastAsia="宋体" w:hAnsi="Arial" w:cs="Arial" w:hint="eastAsia"/>
              </w:rPr>
              <w:t>毛利率的提升有积极影响。</w:t>
            </w:r>
          </w:p>
          <w:p w14:paraId="0056E3D1" w14:textId="77777777" w:rsidR="00C61AC7" w:rsidRDefault="00C61AC7" w:rsidP="00C1104C">
            <w:pPr>
              <w:pStyle w:val="af5"/>
              <w:ind w:firstLine="482"/>
              <w:jc w:val="both"/>
              <w:rPr>
                <w:rFonts w:ascii="Arial" w:eastAsia="宋体" w:hAnsi="Arial" w:cs="Arial"/>
                <w:b/>
                <w:bCs/>
              </w:rPr>
            </w:pPr>
          </w:p>
          <w:p w14:paraId="1DD02A60" w14:textId="4F7A45E8" w:rsidR="005A594E" w:rsidRDefault="00C61AC7" w:rsidP="00C1104C">
            <w:pPr>
              <w:pStyle w:val="af5"/>
              <w:ind w:firstLine="482"/>
              <w:jc w:val="both"/>
              <w:rPr>
                <w:rFonts w:ascii="Arial" w:eastAsia="宋体" w:hAnsi="Arial" w:cs="Arial"/>
                <w:b/>
                <w:bCs/>
              </w:rPr>
            </w:pPr>
            <w:r>
              <w:rPr>
                <w:rFonts w:ascii="Arial" w:eastAsia="宋体" w:hAnsi="Arial" w:cs="Arial" w:hint="eastAsia"/>
                <w:b/>
                <w:bCs/>
              </w:rPr>
              <w:t>问题</w:t>
            </w:r>
            <w:r w:rsidR="00DA22FA">
              <w:rPr>
                <w:rFonts w:ascii="Arial" w:eastAsia="宋体" w:hAnsi="Arial" w:cs="Arial" w:hint="eastAsia"/>
                <w:b/>
                <w:bCs/>
              </w:rPr>
              <w:t>四</w:t>
            </w:r>
            <w:r>
              <w:rPr>
                <w:rFonts w:ascii="Arial" w:eastAsia="宋体" w:hAnsi="Arial" w:cs="Arial" w:hint="eastAsia"/>
                <w:b/>
                <w:bCs/>
              </w:rPr>
              <w:t>：</w:t>
            </w:r>
            <w:r w:rsidR="005A594E">
              <w:rPr>
                <w:rFonts w:ascii="Arial" w:eastAsia="宋体" w:hAnsi="Arial" w:cs="Arial" w:hint="eastAsia"/>
                <w:b/>
                <w:bCs/>
              </w:rPr>
              <w:t>上半年公司</w:t>
            </w:r>
            <w:r w:rsidR="00DA22FA">
              <w:rPr>
                <w:rFonts w:ascii="Arial" w:eastAsia="宋体" w:hAnsi="Arial" w:cs="Arial" w:hint="eastAsia"/>
                <w:b/>
                <w:bCs/>
              </w:rPr>
              <w:t>控制期间费用率采取的措施？</w:t>
            </w:r>
          </w:p>
          <w:p w14:paraId="1D2637E7" w14:textId="5AD65898" w:rsidR="005A594E" w:rsidRPr="00513DD9" w:rsidRDefault="00C61AC7" w:rsidP="00C1104C">
            <w:pPr>
              <w:pStyle w:val="af5"/>
              <w:ind w:firstLine="480"/>
              <w:jc w:val="both"/>
              <w:rPr>
                <w:rFonts w:ascii="Arial" w:eastAsia="宋体" w:hAnsi="Arial" w:cs="Arial"/>
              </w:rPr>
            </w:pPr>
            <w:r>
              <w:rPr>
                <w:rFonts w:ascii="Arial" w:eastAsia="宋体" w:hAnsi="Arial" w:cs="Arial" w:hint="eastAsia"/>
              </w:rPr>
              <w:lastRenderedPageBreak/>
              <w:t>2</w:t>
            </w:r>
            <w:r>
              <w:rPr>
                <w:rFonts w:ascii="Arial" w:eastAsia="宋体" w:hAnsi="Arial" w:cs="Arial"/>
              </w:rPr>
              <w:t>024</w:t>
            </w:r>
            <w:r>
              <w:rPr>
                <w:rFonts w:ascii="Arial" w:eastAsia="宋体" w:hAnsi="Arial" w:cs="Arial" w:hint="eastAsia"/>
              </w:rPr>
              <w:t>年</w:t>
            </w:r>
            <w:r w:rsidRPr="00C1104C">
              <w:rPr>
                <w:rFonts w:ascii="Arial" w:eastAsia="宋体" w:hAnsi="Arial" w:cs="Arial" w:hint="eastAsia"/>
              </w:rPr>
              <w:t>上半年</w:t>
            </w:r>
            <w:r>
              <w:rPr>
                <w:rFonts w:ascii="Arial" w:eastAsia="宋体" w:hAnsi="Arial" w:cs="Arial" w:hint="eastAsia"/>
              </w:rPr>
              <w:t>，公司</w:t>
            </w:r>
            <w:r w:rsidRPr="00C1104C">
              <w:rPr>
                <w:rFonts w:ascii="Arial" w:eastAsia="宋体" w:hAnsi="Arial" w:cs="Arial" w:hint="eastAsia"/>
              </w:rPr>
              <w:t>期间费用率</w:t>
            </w:r>
            <w:r w:rsidRPr="00C1104C">
              <w:rPr>
                <w:rFonts w:ascii="Arial" w:eastAsia="宋体" w:hAnsi="Arial" w:cs="Arial"/>
              </w:rPr>
              <w:t>37</w:t>
            </w:r>
            <w:r>
              <w:rPr>
                <w:rFonts w:ascii="Arial" w:eastAsia="宋体" w:hAnsi="Arial" w:cs="Arial"/>
              </w:rPr>
              <w:t>.16</w:t>
            </w:r>
            <w:r w:rsidRPr="00C1104C">
              <w:rPr>
                <w:rFonts w:ascii="Arial" w:eastAsia="宋体" w:hAnsi="Arial" w:cs="Arial"/>
              </w:rPr>
              <w:t>%</w:t>
            </w:r>
            <w:r w:rsidRPr="00C1104C">
              <w:rPr>
                <w:rFonts w:ascii="Arial" w:eastAsia="宋体" w:hAnsi="Arial" w:cs="Arial" w:hint="eastAsia"/>
              </w:rPr>
              <w:t>，同比改善</w:t>
            </w:r>
            <w:r w:rsidRPr="00C1104C">
              <w:rPr>
                <w:rFonts w:ascii="Arial" w:eastAsia="宋体" w:hAnsi="Arial" w:cs="Arial"/>
              </w:rPr>
              <w:t>3.03</w:t>
            </w:r>
            <w:r w:rsidRPr="00C1104C">
              <w:rPr>
                <w:rFonts w:ascii="Arial" w:eastAsia="宋体" w:hAnsi="Arial" w:cs="Arial" w:hint="eastAsia"/>
              </w:rPr>
              <w:t>个百分点。</w:t>
            </w:r>
            <w:r w:rsidR="00513DD9">
              <w:rPr>
                <w:rFonts w:ascii="Arial" w:eastAsia="宋体" w:hAnsi="Arial" w:cs="Arial" w:hint="eastAsia"/>
              </w:rPr>
              <w:t>首先，公司</w:t>
            </w:r>
            <w:r w:rsidR="00513DD9" w:rsidRPr="00513DD9">
              <w:rPr>
                <w:rFonts w:ascii="Arial" w:eastAsia="宋体" w:hAnsi="Arial" w:cs="Arial" w:hint="eastAsia"/>
              </w:rPr>
              <w:t>推动全面预算制，并上线预算管理系统促进全员参与及资源动态配置</w:t>
            </w:r>
            <w:r w:rsidR="00513DD9">
              <w:rPr>
                <w:rFonts w:ascii="Arial" w:eastAsia="宋体" w:hAnsi="Arial" w:cs="Arial" w:hint="eastAsia"/>
              </w:rPr>
              <w:t>，</w:t>
            </w:r>
            <w:r w:rsidR="0012597C">
              <w:rPr>
                <w:rFonts w:ascii="Arial" w:eastAsia="宋体" w:hAnsi="Arial" w:cs="Arial" w:hint="eastAsia"/>
              </w:rPr>
              <w:t>并</w:t>
            </w:r>
            <w:r w:rsidR="00513DD9" w:rsidRPr="00513DD9">
              <w:rPr>
                <w:rFonts w:ascii="Arial" w:eastAsia="宋体" w:hAnsi="Arial" w:cs="Arial" w:hint="eastAsia"/>
              </w:rPr>
              <w:t>基于</w:t>
            </w:r>
            <w:r w:rsidR="00513DD9">
              <w:rPr>
                <w:rFonts w:ascii="Arial" w:eastAsia="宋体" w:hAnsi="Arial" w:cs="Arial" w:hint="eastAsia"/>
              </w:rPr>
              <w:t>预算管理的整体</w:t>
            </w:r>
            <w:r w:rsidR="00513DD9" w:rsidRPr="00513DD9">
              <w:rPr>
                <w:rFonts w:ascii="Arial" w:eastAsia="宋体" w:hAnsi="Arial" w:cs="Arial" w:hint="eastAsia"/>
              </w:rPr>
              <w:t>目标，</w:t>
            </w:r>
            <w:r w:rsidR="00513DD9">
              <w:rPr>
                <w:rFonts w:ascii="Arial" w:eastAsia="宋体" w:hAnsi="Arial" w:cs="Arial" w:hint="eastAsia"/>
              </w:rPr>
              <w:t>定期</w:t>
            </w:r>
            <w:r w:rsidR="00513DD9" w:rsidRPr="00513DD9">
              <w:rPr>
                <w:rFonts w:ascii="Arial" w:eastAsia="宋体" w:hAnsi="Arial" w:cs="Arial" w:hint="eastAsia"/>
              </w:rPr>
              <w:t>和</w:t>
            </w:r>
            <w:r w:rsidR="00513DD9">
              <w:rPr>
                <w:rFonts w:ascii="Arial" w:eastAsia="宋体" w:hAnsi="Arial" w:cs="Arial" w:hint="eastAsia"/>
              </w:rPr>
              <w:t>相关</w:t>
            </w:r>
            <w:r w:rsidR="00513DD9" w:rsidRPr="00513DD9">
              <w:rPr>
                <w:rFonts w:ascii="Arial" w:eastAsia="宋体" w:hAnsi="Arial" w:cs="Arial" w:hint="eastAsia"/>
              </w:rPr>
              <w:t>区域</w:t>
            </w:r>
            <w:r w:rsidR="00513DD9">
              <w:rPr>
                <w:rFonts w:ascii="Arial" w:eastAsia="宋体" w:hAnsi="Arial" w:cs="Arial" w:hint="eastAsia"/>
              </w:rPr>
              <w:t>和</w:t>
            </w:r>
            <w:r w:rsidR="00513DD9" w:rsidRPr="00513DD9">
              <w:rPr>
                <w:rFonts w:ascii="Arial" w:eastAsia="宋体" w:hAnsi="Arial" w:cs="Arial" w:hint="eastAsia"/>
              </w:rPr>
              <w:t>部门</w:t>
            </w:r>
            <w:r w:rsidR="00513DD9">
              <w:rPr>
                <w:rFonts w:ascii="Arial" w:eastAsia="宋体" w:hAnsi="Arial" w:cs="Arial" w:hint="eastAsia"/>
              </w:rPr>
              <w:t>进行复盘分析</w:t>
            </w:r>
            <w:r w:rsidR="003251E4">
              <w:rPr>
                <w:rFonts w:ascii="Arial" w:eastAsia="宋体" w:hAnsi="Arial" w:cs="Arial" w:hint="eastAsia"/>
              </w:rPr>
              <w:t>，针对核心费用，通过总部集采优化资源配置。</w:t>
            </w:r>
            <w:r w:rsidR="00513DD9">
              <w:rPr>
                <w:rFonts w:ascii="Arial" w:eastAsia="宋体" w:hAnsi="Arial" w:cs="Arial" w:hint="eastAsia"/>
              </w:rPr>
              <w:t>另外，</w:t>
            </w:r>
            <w:r w:rsidR="00513DD9" w:rsidRPr="00513DD9">
              <w:rPr>
                <w:rFonts w:ascii="Arial" w:eastAsia="宋体" w:hAnsi="Arial" w:cs="Arial" w:hint="eastAsia"/>
              </w:rPr>
              <w:t>公司充分运用</w:t>
            </w:r>
            <w:r w:rsidR="00513DD9" w:rsidRPr="00513DD9">
              <w:rPr>
                <w:rFonts w:ascii="Arial" w:eastAsia="宋体" w:hAnsi="Arial" w:cs="Arial"/>
              </w:rPr>
              <w:t>AI</w:t>
            </w:r>
            <w:r w:rsidR="00513DD9" w:rsidRPr="00513DD9">
              <w:rPr>
                <w:rFonts w:ascii="Arial" w:eastAsia="宋体" w:hAnsi="Arial" w:cs="Arial" w:hint="eastAsia"/>
              </w:rPr>
              <w:t>技术提升编程与开发效率，</w:t>
            </w:r>
            <w:r w:rsidR="00513DD9">
              <w:rPr>
                <w:rFonts w:ascii="Arial" w:eastAsia="宋体" w:hAnsi="Arial" w:cs="Arial" w:hint="eastAsia"/>
              </w:rPr>
              <w:t>并</w:t>
            </w:r>
            <w:r w:rsidR="00513DD9" w:rsidRPr="00513DD9">
              <w:rPr>
                <w:rFonts w:ascii="Arial" w:eastAsia="宋体" w:hAnsi="Arial" w:cs="Arial" w:hint="eastAsia"/>
              </w:rPr>
              <w:t>升级</w:t>
            </w:r>
            <w:r w:rsidR="00513DD9">
              <w:rPr>
                <w:rFonts w:ascii="Arial" w:eastAsia="宋体" w:hAnsi="Arial" w:cs="Arial" w:hint="eastAsia"/>
              </w:rPr>
              <w:t>了</w:t>
            </w:r>
            <w:r w:rsidR="00513DD9" w:rsidRPr="00513DD9">
              <w:rPr>
                <w:rFonts w:ascii="Arial" w:eastAsia="宋体" w:hAnsi="Arial" w:cs="Arial"/>
              </w:rPr>
              <w:t>OA</w:t>
            </w:r>
            <w:r w:rsidR="00513DD9" w:rsidRPr="00513DD9">
              <w:rPr>
                <w:rFonts w:ascii="Arial" w:eastAsia="宋体" w:hAnsi="Arial" w:cs="Arial" w:hint="eastAsia"/>
              </w:rPr>
              <w:t>与</w:t>
            </w:r>
            <w:r w:rsidR="00513DD9" w:rsidRPr="00513DD9">
              <w:rPr>
                <w:rFonts w:ascii="Arial" w:eastAsia="宋体" w:hAnsi="Arial" w:cs="Arial"/>
              </w:rPr>
              <w:t>BI</w:t>
            </w:r>
            <w:r w:rsidR="00513DD9" w:rsidRPr="00513DD9">
              <w:rPr>
                <w:rFonts w:ascii="Arial" w:eastAsia="宋体" w:hAnsi="Arial" w:cs="Arial" w:hint="eastAsia"/>
              </w:rPr>
              <w:t>系统强化跨部门协同与经营数据可视化提高决策效率</w:t>
            </w:r>
            <w:r w:rsidR="00513DD9">
              <w:rPr>
                <w:rFonts w:ascii="Arial" w:eastAsia="宋体" w:hAnsi="Arial" w:cs="Arial" w:hint="eastAsia"/>
              </w:rPr>
              <w:t>。</w:t>
            </w:r>
          </w:p>
          <w:p w14:paraId="3BBF775F" w14:textId="77777777" w:rsidR="00513DD9" w:rsidRDefault="00513DD9" w:rsidP="00C1104C">
            <w:pPr>
              <w:pStyle w:val="af5"/>
              <w:ind w:firstLine="482"/>
              <w:jc w:val="both"/>
              <w:rPr>
                <w:rFonts w:ascii="Arial" w:eastAsia="宋体" w:hAnsi="Arial" w:cs="Arial"/>
                <w:b/>
                <w:bCs/>
              </w:rPr>
            </w:pPr>
          </w:p>
          <w:p w14:paraId="30113792" w14:textId="78A43BB6" w:rsidR="008E7BD9" w:rsidRDefault="008E7BD9" w:rsidP="00C1104C">
            <w:pPr>
              <w:pStyle w:val="af5"/>
              <w:ind w:firstLine="482"/>
              <w:jc w:val="both"/>
              <w:rPr>
                <w:rFonts w:ascii="Arial" w:eastAsia="宋体" w:hAnsi="Arial" w:cs="Arial"/>
                <w:b/>
                <w:bCs/>
              </w:rPr>
            </w:pPr>
            <w:r>
              <w:rPr>
                <w:rFonts w:ascii="Arial" w:eastAsia="宋体" w:hAnsi="Arial" w:cs="Arial" w:hint="eastAsia"/>
                <w:b/>
                <w:bCs/>
              </w:rPr>
              <w:t>问题</w:t>
            </w:r>
            <w:r w:rsidR="00DA22FA">
              <w:rPr>
                <w:rFonts w:ascii="Arial" w:eastAsia="宋体" w:hAnsi="Arial" w:cs="Arial" w:hint="eastAsia"/>
                <w:b/>
                <w:bCs/>
              </w:rPr>
              <w:t>五</w:t>
            </w:r>
            <w:r>
              <w:rPr>
                <w:rFonts w:ascii="Arial" w:eastAsia="宋体" w:hAnsi="Arial" w:cs="Arial" w:hint="eastAsia"/>
                <w:b/>
                <w:bCs/>
              </w:rPr>
              <w:t>：</w:t>
            </w:r>
            <w:r w:rsidR="00F96602">
              <w:rPr>
                <w:rFonts w:ascii="Arial" w:eastAsia="宋体" w:hAnsi="Arial" w:cs="Arial" w:hint="eastAsia"/>
                <w:b/>
                <w:bCs/>
              </w:rPr>
              <w:t>公司</w:t>
            </w:r>
            <w:r>
              <w:rPr>
                <w:rFonts w:ascii="Arial" w:eastAsia="宋体" w:hAnsi="Arial" w:cs="Arial" w:hint="eastAsia"/>
                <w:b/>
                <w:bCs/>
              </w:rPr>
              <w:t>研发投入</w:t>
            </w:r>
            <w:r w:rsidR="00F96602">
              <w:rPr>
                <w:rFonts w:ascii="Arial" w:eastAsia="宋体" w:hAnsi="Arial" w:cs="Arial" w:hint="eastAsia"/>
                <w:b/>
                <w:bCs/>
              </w:rPr>
              <w:t>的</w:t>
            </w:r>
            <w:r w:rsidR="00DA22FA">
              <w:rPr>
                <w:rFonts w:ascii="Arial" w:eastAsia="宋体" w:hAnsi="Arial" w:cs="Arial" w:hint="eastAsia"/>
                <w:b/>
                <w:bCs/>
              </w:rPr>
              <w:t>规划</w:t>
            </w:r>
            <w:r>
              <w:rPr>
                <w:rFonts w:ascii="Arial" w:eastAsia="宋体" w:hAnsi="Arial" w:cs="Arial" w:hint="eastAsia"/>
                <w:b/>
                <w:bCs/>
              </w:rPr>
              <w:t>？</w:t>
            </w:r>
          </w:p>
          <w:p w14:paraId="69D20226" w14:textId="5D0FD1BD" w:rsidR="008E7BD9" w:rsidRPr="003251E4" w:rsidRDefault="00DA22FA" w:rsidP="00C1104C">
            <w:pPr>
              <w:pStyle w:val="af5"/>
              <w:ind w:firstLine="480"/>
              <w:jc w:val="both"/>
              <w:rPr>
                <w:rFonts w:ascii="Arial" w:eastAsia="宋体" w:hAnsi="Arial" w:cs="Arial"/>
              </w:rPr>
            </w:pPr>
            <w:r>
              <w:rPr>
                <w:rFonts w:ascii="Arial" w:eastAsia="宋体" w:hAnsi="Arial" w:cs="Arial" w:hint="eastAsia"/>
              </w:rPr>
              <w:t>公司始终坚持以</w:t>
            </w:r>
            <w:r w:rsidRPr="008273A3">
              <w:rPr>
                <w:rFonts w:ascii="Arial" w:eastAsia="宋体" w:hAnsi="Arial" w:cs="Arial" w:hint="eastAsia"/>
              </w:rPr>
              <w:t>技术创新</w:t>
            </w:r>
            <w:r>
              <w:rPr>
                <w:rFonts w:ascii="Arial" w:eastAsia="宋体" w:hAnsi="Arial" w:cs="Arial" w:hint="eastAsia"/>
              </w:rPr>
              <w:t>为</w:t>
            </w:r>
            <w:r w:rsidRPr="008273A3">
              <w:rPr>
                <w:rFonts w:ascii="Arial" w:eastAsia="宋体" w:hAnsi="Arial" w:cs="Arial" w:hint="eastAsia"/>
              </w:rPr>
              <w:t>驱动</w:t>
            </w:r>
            <w:r>
              <w:rPr>
                <w:rFonts w:ascii="Arial" w:eastAsia="宋体" w:hAnsi="Arial" w:cs="Arial" w:hint="eastAsia"/>
              </w:rPr>
              <w:t>，</w:t>
            </w:r>
            <w:r w:rsidRPr="00123C42">
              <w:rPr>
                <w:rFonts w:ascii="Arial" w:eastAsia="宋体" w:hAnsi="Arial" w:cs="Arial" w:hint="eastAsia"/>
              </w:rPr>
              <w:t>持续加大核心技术战略投入</w:t>
            </w:r>
            <w:r>
              <w:rPr>
                <w:rFonts w:ascii="Arial" w:eastAsia="宋体" w:hAnsi="Arial" w:cs="Arial" w:hint="eastAsia"/>
              </w:rPr>
              <w:t>。</w:t>
            </w:r>
            <w:r w:rsidR="003251E4">
              <w:rPr>
                <w:rFonts w:ascii="Arial" w:eastAsia="宋体" w:hAnsi="Arial" w:cs="Arial" w:hint="eastAsia"/>
              </w:rPr>
              <w:t>2</w:t>
            </w:r>
            <w:r w:rsidR="003251E4">
              <w:rPr>
                <w:rFonts w:ascii="Arial" w:eastAsia="宋体" w:hAnsi="Arial" w:cs="Arial"/>
              </w:rPr>
              <w:t>024</w:t>
            </w:r>
            <w:r w:rsidR="003251E4">
              <w:rPr>
                <w:rFonts w:ascii="Arial" w:eastAsia="宋体" w:hAnsi="Arial" w:cs="Arial" w:hint="eastAsia"/>
              </w:rPr>
              <w:t>年下半年，公司在数字维修、数字能源两大板块均有新品推出</w:t>
            </w:r>
            <w:r w:rsidR="00F96602">
              <w:rPr>
                <w:rFonts w:ascii="Arial" w:eastAsia="宋体" w:hAnsi="Arial" w:cs="Arial" w:hint="eastAsia"/>
              </w:rPr>
              <w:t>的</w:t>
            </w:r>
            <w:r w:rsidR="003251E4">
              <w:rPr>
                <w:rFonts w:ascii="Arial" w:eastAsia="宋体" w:hAnsi="Arial" w:cs="Arial" w:hint="eastAsia"/>
              </w:rPr>
              <w:t>计划。数字维修方面，各个产品线均</w:t>
            </w:r>
            <w:r w:rsidR="0012597C">
              <w:rPr>
                <w:rFonts w:ascii="Arial" w:eastAsia="宋体" w:hAnsi="Arial" w:cs="Arial" w:hint="eastAsia"/>
              </w:rPr>
              <w:t>会</w:t>
            </w:r>
            <w:r w:rsidR="003251E4">
              <w:rPr>
                <w:rFonts w:ascii="Arial" w:eastAsia="宋体" w:hAnsi="Arial" w:cs="Arial" w:hint="eastAsia"/>
              </w:rPr>
              <w:t>有新品上市；数字能源方面，</w:t>
            </w:r>
            <w:r w:rsidR="003251E4" w:rsidRPr="003251E4">
              <w:rPr>
                <w:rFonts w:ascii="Arial" w:eastAsia="宋体" w:hAnsi="Arial" w:cs="Arial" w:hint="eastAsia"/>
              </w:rPr>
              <w:t>第二代超快一体充电产品</w:t>
            </w:r>
            <w:r w:rsidR="003251E4">
              <w:rPr>
                <w:rFonts w:ascii="Arial" w:eastAsia="宋体" w:hAnsi="Arial" w:cs="Arial" w:hint="eastAsia"/>
              </w:rPr>
              <w:t>已陆续进入</w:t>
            </w:r>
            <w:r w:rsidR="003251E4" w:rsidRPr="003251E4">
              <w:rPr>
                <w:rFonts w:ascii="Arial" w:eastAsia="宋体" w:hAnsi="Arial" w:cs="Arial" w:hint="eastAsia"/>
              </w:rPr>
              <w:t>认证阶段，模块</w:t>
            </w:r>
            <w:r w:rsidR="003251E4">
              <w:rPr>
                <w:rFonts w:ascii="Arial" w:eastAsia="宋体" w:hAnsi="Arial" w:cs="Arial" w:hint="eastAsia"/>
              </w:rPr>
              <w:t>项目</w:t>
            </w:r>
            <w:r w:rsidR="003251E4" w:rsidRPr="003251E4">
              <w:rPr>
                <w:rFonts w:ascii="Arial" w:eastAsia="宋体" w:hAnsi="Arial" w:cs="Arial" w:hint="eastAsia"/>
              </w:rPr>
              <w:t>也在</w:t>
            </w:r>
            <w:r w:rsidR="003251E4">
              <w:rPr>
                <w:rFonts w:ascii="Arial" w:eastAsia="宋体" w:hAnsi="Arial" w:cs="Arial" w:hint="eastAsia"/>
              </w:rPr>
              <w:t>持续</w:t>
            </w:r>
            <w:r w:rsidR="003251E4" w:rsidRPr="003251E4">
              <w:rPr>
                <w:rFonts w:ascii="Arial" w:eastAsia="宋体" w:hAnsi="Arial" w:cs="Arial" w:hint="eastAsia"/>
              </w:rPr>
              <w:t>投入</w:t>
            </w:r>
            <w:r w:rsidR="003251E4">
              <w:rPr>
                <w:rFonts w:ascii="Arial" w:eastAsia="宋体" w:hAnsi="Arial" w:cs="Arial" w:hint="eastAsia"/>
              </w:rPr>
              <w:t>。下半年，公司会把控整体费用率，优化资源配置。</w:t>
            </w:r>
          </w:p>
          <w:p w14:paraId="764A5F7E" w14:textId="076C1CD4" w:rsidR="004F1099" w:rsidRPr="004F1099" w:rsidRDefault="004F1099" w:rsidP="00DA22FA">
            <w:pPr>
              <w:pStyle w:val="af5"/>
              <w:ind w:firstLine="480"/>
              <w:jc w:val="both"/>
              <w:rPr>
                <w:rFonts w:ascii="Arial" w:eastAsia="宋体" w:hAnsi="Arial" w:cs="Arial"/>
              </w:rPr>
            </w:pPr>
          </w:p>
        </w:tc>
      </w:tr>
      <w:tr w:rsidR="00473A8E" w:rsidRPr="00774DC6" w14:paraId="65006B53" w14:textId="77777777" w:rsidTr="00686285">
        <w:trPr>
          <w:trHeight w:val="812"/>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0F47099D" w14:textId="77777777" w:rsidR="00473A8E" w:rsidRPr="00774DC6" w:rsidRDefault="00473A8E" w:rsidP="00473A8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lastRenderedPageBreak/>
              <w:t>附件清单</w:t>
            </w:r>
          </w:p>
          <w:p w14:paraId="2AEBF81C" w14:textId="33488415" w:rsidR="00473A8E" w:rsidRPr="00774DC6" w:rsidRDefault="00473A8E" w:rsidP="00473A8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（如有）</w:t>
            </w:r>
          </w:p>
        </w:tc>
        <w:tc>
          <w:tcPr>
            <w:tcW w:w="8359" w:type="dxa"/>
            <w:tcBorders>
              <w:top w:val="single" w:sz="4" w:space="0" w:color="000000"/>
              <w:left w:val="single" w:sz="4" w:space="0" w:color="000000"/>
              <w:bottom w:val="single" w:sz="4" w:space="0" w:color="000000"/>
              <w:right w:val="single" w:sz="4" w:space="0" w:color="000000"/>
            </w:tcBorders>
            <w:vAlign w:val="center"/>
          </w:tcPr>
          <w:p w14:paraId="399A06B7" w14:textId="36718147" w:rsidR="00473A8E" w:rsidRPr="00774DC6" w:rsidRDefault="00473A8E" w:rsidP="008D787E">
            <w:pPr>
              <w:snapToGrid w:val="0"/>
              <w:spacing w:after="0" w:line="320" w:lineRule="exact"/>
              <w:rPr>
                <w:rFonts w:ascii="Arial" w:eastAsia="宋体" w:hAnsi="Arial" w:cs="Arial"/>
                <w:color w:val="auto"/>
                <w:sz w:val="24"/>
                <w:szCs w:val="24"/>
              </w:rPr>
            </w:pPr>
            <w:r w:rsidRPr="00774DC6">
              <w:rPr>
                <w:rFonts w:ascii="Arial" w:eastAsia="宋体" w:hAnsi="Arial" w:cs="Arial"/>
                <w:color w:val="auto"/>
                <w:sz w:val="24"/>
                <w:szCs w:val="24"/>
              </w:rPr>
              <w:t>无</w:t>
            </w:r>
          </w:p>
        </w:tc>
      </w:tr>
      <w:tr w:rsidR="00473A8E" w:rsidRPr="00774DC6" w14:paraId="26008026" w14:textId="77777777" w:rsidTr="00686285">
        <w:trPr>
          <w:trHeight w:val="1216"/>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55DFF8DE" w14:textId="5F65491E" w:rsidR="00473A8E" w:rsidRPr="00774DC6" w:rsidRDefault="00473A8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备注</w:t>
            </w:r>
          </w:p>
        </w:tc>
        <w:tc>
          <w:tcPr>
            <w:tcW w:w="8359" w:type="dxa"/>
            <w:tcBorders>
              <w:top w:val="single" w:sz="4" w:space="0" w:color="000000"/>
              <w:left w:val="single" w:sz="4" w:space="0" w:color="000000"/>
              <w:bottom w:val="single" w:sz="4" w:space="0" w:color="000000"/>
              <w:right w:val="single" w:sz="4" w:space="0" w:color="000000"/>
            </w:tcBorders>
            <w:vAlign w:val="center"/>
          </w:tcPr>
          <w:p w14:paraId="0C5B4F5E" w14:textId="64A2F622" w:rsidR="00473A8E" w:rsidRPr="00774DC6" w:rsidRDefault="00473A8E" w:rsidP="00085688">
            <w:pPr>
              <w:snapToGrid w:val="0"/>
              <w:spacing w:after="0" w:line="276" w:lineRule="auto"/>
              <w:rPr>
                <w:rFonts w:ascii="Arial" w:eastAsia="宋体" w:hAnsi="Arial" w:cs="Arial"/>
                <w:color w:val="auto"/>
                <w:sz w:val="24"/>
                <w:szCs w:val="24"/>
              </w:rPr>
            </w:pPr>
            <w:r w:rsidRPr="00774DC6">
              <w:rPr>
                <w:rFonts w:ascii="Arial" w:eastAsia="宋体" w:hAnsi="Arial" w:cs="Arial"/>
                <w:color w:val="auto"/>
                <w:sz w:val="24"/>
                <w:szCs w:val="24"/>
              </w:rPr>
              <w:t>接待过程中，公司与投资者进行了充分的交流与沟通，并严格遵守公司《信息披露管理制度》等文件的规定，保证信息披露的真实、准确、完整、及时、公平，没有出现未公开重大信息泄露等情况。</w:t>
            </w:r>
          </w:p>
        </w:tc>
      </w:tr>
    </w:tbl>
    <w:p w14:paraId="492D54F0" w14:textId="77777777" w:rsidR="00585A12" w:rsidRPr="00774DC6" w:rsidRDefault="00585A12">
      <w:pPr>
        <w:spacing w:after="0"/>
        <w:jc w:val="both"/>
        <w:rPr>
          <w:rFonts w:ascii="Arial" w:eastAsia="宋体" w:hAnsi="Arial" w:cs="Arial"/>
          <w:color w:val="auto"/>
        </w:rPr>
      </w:pPr>
    </w:p>
    <w:sectPr w:rsidR="00585A12" w:rsidRPr="00774DC6" w:rsidSect="00473A8E">
      <w:pgSz w:w="11906" w:h="16838" w:code="9"/>
      <w:pgMar w:top="1446" w:right="1797" w:bottom="1582" w:left="1797" w:header="720" w:footer="720" w:gutter="0"/>
      <w:cols w:space="720"/>
      <w:docGrid w:type="lines"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BA2BBB" w14:textId="77777777" w:rsidR="00AA3421" w:rsidRDefault="00AA3421" w:rsidP="00170410">
      <w:pPr>
        <w:spacing w:after="0" w:line="240" w:lineRule="auto"/>
      </w:pPr>
      <w:r>
        <w:separator/>
      </w:r>
    </w:p>
  </w:endnote>
  <w:endnote w:type="continuationSeparator" w:id="0">
    <w:p w14:paraId="74BE3500" w14:textId="77777777" w:rsidR="00AA3421" w:rsidRDefault="00AA3421" w:rsidP="001704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A30FCB" w14:textId="77777777" w:rsidR="00AA3421" w:rsidRDefault="00AA3421" w:rsidP="00170410">
      <w:pPr>
        <w:spacing w:after="0" w:line="240" w:lineRule="auto"/>
      </w:pPr>
      <w:r>
        <w:separator/>
      </w:r>
    </w:p>
  </w:footnote>
  <w:footnote w:type="continuationSeparator" w:id="0">
    <w:p w14:paraId="29F189AC" w14:textId="77777777" w:rsidR="00AA3421" w:rsidRDefault="00AA3421" w:rsidP="001704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7161E"/>
    <w:multiLevelType w:val="hybridMultilevel"/>
    <w:tmpl w:val="529A4F24"/>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15:restartNumberingAfterBreak="0">
    <w:nsid w:val="0CB70246"/>
    <w:multiLevelType w:val="hybridMultilevel"/>
    <w:tmpl w:val="B56EF258"/>
    <w:lvl w:ilvl="0" w:tplc="0409000B">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 w15:restartNumberingAfterBreak="0">
    <w:nsid w:val="13A56007"/>
    <w:multiLevelType w:val="hybridMultilevel"/>
    <w:tmpl w:val="4B72B6A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151B5463"/>
    <w:multiLevelType w:val="multilevel"/>
    <w:tmpl w:val="4C6A0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D4460B"/>
    <w:multiLevelType w:val="hybridMultilevel"/>
    <w:tmpl w:val="AC62CF62"/>
    <w:lvl w:ilvl="0" w:tplc="0409000B">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5" w15:restartNumberingAfterBreak="0">
    <w:nsid w:val="1F181A69"/>
    <w:multiLevelType w:val="hybridMultilevel"/>
    <w:tmpl w:val="5D1C70F0"/>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6" w15:restartNumberingAfterBreak="0">
    <w:nsid w:val="293A5699"/>
    <w:multiLevelType w:val="hybridMultilevel"/>
    <w:tmpl w:val="E4680128"/>
    <w:lvl w:ilvl="0" w:tplc="8EE8BE4C">
      <w:start w:val="1"/>
      <w:numFmt w:val="japaneseCounting"/>
      <w:lvlText w:val="%1、"/>
      <w:lvlJc w:val="left"/>
      <w:pPr>
        <w:ind w:left="450" w:hanging="450"/>
      </w:pPr>
      <w:rPr>
        <w:rFonts w:eastAsia="Calibr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DB412FA"/>
    <w:multiLevelType w:val="hybridMultilevel"/>
    <w:tmpl w:val="F4BA4C6C"/>
    <w:lvl w:ilvl="0" w:tplc="173E1D56">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15:restartNumberingAfterBreak="0">
    <w:nsid w:val="3024243A"/>
    <w:multiLevelType w:val="hybridMultilevel"/>
    <w:tmpl w:val="0FF8E29C"/>
    <w:lvl w:ilvl="0" w:tplc="8860549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1DD35B9"/>
    <w:multiLevelType w:val="hybridMultilevel"/>
    <w:tmpl w:val="5B60CB9C"/>
    <w:lvl w:ilvl="0" w:tplc="0409000B">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10" w15:restartNumberingAfterBreak="0">
    <w:nsid w:val="3BDA67B7"/>
    <w:multiLevelType w:val="hybridMultilevel"/>
    <w:tmpl w:val="D53CF5E8"/>
    <w:lvl w:ilvl="0" w:tplc="5B9E2AD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215552C"/>
    <w:multiLevelType w:val="hybridMultilevel"/>
    <w:tmpl w:val="5CF46A34"/>
    <w:lvl w:ilvl="0" w:tplc="7C88D358">
      <w:start w:val="1"/>
      <w:numFmt w:val="lowerLetter"/>
      <w:lvlText w:val="%1)"/>
      <w:lvlJc w:val="left"/>
      <w:pPr>
        <w:ind w:left="1200" w:hanging="420"/>
      </w:pPr>
      <w:rPr>
        <w:rFonts w:hint="default"/>
        <w:b/>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2" w15:restartNumberingAfterBreak="0">
    <w:nsid w:val="47415D4E"/>
    <w:multiLevelType w:val="hybridMultilevel"/>
    <w:tmpl w:val="71E27BD2"/>
    <w:lvl w:ilvl="0" w:tplc="04090001">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13" w15:restartNumberingAfterBreak="0">
    <w:nsid w:val="570C3A55"/>
    <w:multiLevelType w:val="hybridMultilevel"/>
    <w:tmpl w:val="08782192"/>
    <w:lvl w:ilvl="0" w:tplc="914EFBDE">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14" w15:restartNumberingAfterBreak="0">
    <w:nsid w:val="5DD3307A"/>
    <w:multiLevelType w:val="hybridMultilevel"/>
    <w:tmpl w:val="DCA07754"/>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5" w15:restartNumberingAfterBreak="0">
    <w:nsid w:val="646E103C"/>
    <w:multiLevelType w:val="hybridMultilevel"/>
    <w:tmpl w:val="12523BBA"/>
    <w:lvl w:ilvl="0" w:tplc="DF741D64">
      <w:start w:val="1"/>
      <w:numFmt w:val="bullet"/>
      <w:lvlText w:val=""/>
      <w:lvlJc w:val="left"/>
      <w:pPr>
        <w:tabs>
          <w:tab w:val="num" w:pos="720"/>
        </w:tabs>
        <w:ind w:left="720" w:hanging="360"/>
      </w:pPr>
      <w:rPr>
        <w:rFonts w:ascii="Wingdings" w:hAnsi="Wingdings" w:hint="default"/>
      </w:rPr>
    </w:lvl>
    <w:lvl w:ilvl="1" w:tplc="E15C2838" w:tentative="1">
      <w:start w:val="1"/>
      <w:numFmt w:val="bullet"/>
      <w:lvlText w:val=""/>
      <w:lvlJc w:val="left"/>
      <w:pPr>
        <w:tabs>
          <w:tab w:val="num" w:pos="1440"/>
        </w:tabs>
        <w:ind w:left="1440" w:hanging="360"/>
      </w:pPr>
      <w:rPr>
        <w:rFonts w:ascii="Wingdings" w:hAnsi="Wingdings" w:hint="default"/>
      </w:rPr>
    </w:lvl>
    <w:lvl w:ilvl="2" w:tplc="6DD88962" w:tentative="1">
      <w:start w:val="1"/>
      <w:numFmt w:val="bullet"/>
      <w:lvlText w:val=""/>
      <w:lvlJc w:val="left"/>
      <w:pPr>
        <w:tabs>
          <w:tab w:val="num" w:pos="2160"/>
        </w:tabs>
        <w:ind w:left="2160" w:hanging="360"/>
      </w:pPr>
      <w:rPr>
        <w:rFonts w:ascii="Wingdings" w:hAnsi="Wingdings" w:hint="default"/>
      </w:rPr>
    </w:lvl>
    <w:lvl w:ilvl="3" w:tplc="F4DA05A2" w:tentative="1">
      <w:start w:val="1"/>
      <w:numFmt w:val="bullet"/>
      <w:lvlText w:val=""/>
      <w:lvlJc w:val="left"/>
      <w:pPr>
        <w:tabs>
          <w:tab w:val="num" w:pos="2880"/>
        </w:tabs>
        <w:ind w:left="2880" w:hanging="360"/>
      </w:pPr>
      <w:rPr>
        <w:rFonts w:ascii="Wingdings" w:hAnsi="Wingdings" w:hint="default"/>
      </w:rPr>
    </w:lvl>
    <w:lvl w:ilvl="4" w:tplc="521EC956" w:tentative="1">
      <w:start w:val="1"/>
      <w:numFmt w:val="bullet"/>
      <w:lvlText w:val=""/>
      <w:lvlJc w:val="left"/>
      <w:pPr>
        <w:tabs>
          <w:tab w:val="num" w:pos="3600"/>
        </w:tabs>
        <w:ind w:left="3600" w:hanging="360"/>
      </w:pPr>
      <w:rPr>
        <w:rFonts w:ascii="Wingdings" w:hAnsi="Wingdings" w:hint="default"/>
      </w:rPr>
    </w:lvl>
    <w:lvl w:ilvl="5" w:tplc="904423B4" w:tentative="1">
      <w:start w:val="1"/>
      <w:numFmt w:val="bullet"/>
      <w:lvlText w:val=""/>
      <w:lvlJc w:val="left"/>
      <w:pPr>
        <w:tabs>
          <w:tab w:val="num" w:pos="4320"/>
        </w:tabs>
        <w:ind w:left="4320" w:hanging="360"/>
      </w:pPr>
      <w:rPr>
        <w:rFonts w:ascii="Wingdings" w:hAnsi="Wingdings" w:hint="default"/>
      </w:rPr>
    </w:lvl>
    <w:lvl w:ilvl="6" w:tplc="128E5252" w:tentative="1">
      <w:start w:val="1"/>
      <w:numFmt w:val="bullet"/>
      <w:lvlText w:val=""/>
      <w:lvlJc w:val="left"/>
      <w:pPr>
        <w:tabs>
          <w:tab w:val="num" w:pos="5040"/>
        </w:tabs>
        <w:ind w:left="5040" w:hanging="360"/>
      </w:pPr>
      <w:rPr>
        <w:rFonts w:ascii="Wingdings" w:hAnsi="Wingdings" w:hint="default"/>
      </w:rPr>
    </w:lvl>
    <w:lvl w:ilvl="7" w:tplc="9268397A" w:tentative="1">
      <w:start w:val="1"/>
      <w:numFmt w:val="bullet"/>
      <w:lvlText w:val=""/>
      <w:lvlJc w:val="left"/>
      <w:pPr>
        <w:tabs>
          <w:tab w:val="num" w:pos="5760"/>
        </w:tabs>
        <w:ind w:left="5760" w:hanging="360"/>
      </w:pPr>
      <w:rPr>
        <w:rFonts w:ascii="Wingdings" w:hAnsi="Wingdings" w:hint="default"/>
      </w:rPr>
    </w:lvl>
    <w:lvl w:ilvl="8" w:tplc="84A66DEC"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4D45B35"/>
    <w:multiLevelType w:val="hybridMultilevel"/>
    <w:tmpl w:val="83469A52"/>
    <w:lvl w:ilvl="0" w:tplc="9A147B8C">
      <w:start w:val="1"/>
      <w:numFmt w:val="bullet"/>
      <w:lvlText w:val=""/>
      <w:lvlJc w:val="left"/>
      <w:pPr>
        <w:ind w:left="1470" w:hanging="420"/>
      </w:pPr>
      <w:rPr>
        <w:rFonts w:ascii="Wingdings" w:hAnsi="Wingdings" w:hint="default"/>
      </w:rPr>
    </w:lvl>
    <w:lvl w:ilvl="1" w:tplc="04090003" w:tentative="1">
      <w:start w:val="1"/>
      <w:numFmt w:val="bullet"/>
      <w:lvlText w:val=""/>
      <w:lvlJc w:val="left"/>
      <w:pPr>
        <w:ind w:left="1890" w:hanging="420"/>
      </w:pPr>
      <w:rPr>
        <w:rFonts w:ascii="Wingdings" w:hAnsi="Wingdings" w:hint="default"/>
      </w:rPr>
    </w:lvl>
    <w:lvl w:ilvl="2" w:tplc="04090005"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3" w:tentative="1">
      <w:start w:val="1"/>
      <w:numFmt w:val="bullet"/>
      <w:lvlText w:val=""/>
      <w:lvlJc w:val="left"/>
      <w:pPr>
        <w:ind w:left="3150" w:hanging="420"/>
      </w:pPr>
      <w:rPr>
        <w:rFonts w:ascii="Wingdings" w:hAnsi="Wingdings" w:hint="default"/>
      </w:rPr>
    </w:lvl>
    <w:lvl w:ilvl="5" w:tplc="04090005"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3" w:tentative="1">
      <w:start w:val="1"/>
      <w:numFmt w:val="bullet"/>
      <w:lvlText w:val=""/>
      <w:lvlJc w:val="left"/>
      <w:pPr>
        <w:ind w:left="4410" w:hanging="420"/>
      </w:pPr>
      <w:rPr>
        <w:rFonts w:ascii="Wingdings" w:hAnsi="Wingdings" w:hint="default"/>
      </w:rPr>
    </w:lvl>
    <w:lvl w:ilvl="8" w:tplc="04090005" w:tentative="1">
      <w:start w:val="1"/>
      <w:numFmt w:val="bullet"/>
      <w:lvlText w:val=""/>
      <w:lvlJc w:val="left"/>
      <w:pPr>
        <w:ind w:left="4830" w:hanging="420"/>
      </w:pPr>
      <w:rPr>
        <w:rFonts w:ascii="Wingdings" w:hAnsi="Wingdings" w:hint="default"/>
      </w:rPr>
    </w:lvl>
  </w:abstractNum>
  <w:abstractNum w:abstractNumId="17" w15:restartNumberingAfterBreak="0">
    <w:nsid w:val="64D91A8B"/>
    <w:multiLevelType w:val="hybridMultilevel"/>
    <w:tmpl w:val="C2086708"/>
    <w:lvl w:ilvl="0" w:tplc="77489A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85E367E"/>
    <w:multiLevelType w:val="hybridMultilevel"/>
    <w:tmpl w:val="4C3050E0"/>
    <w:lvl w:ilvl="0" w:tplc="D6307282">
      <w:start w:val="1"/>
      <w:numFmt w:val="decimal"/>
      <w:lvlText w:val="%1）"/>
      <w:lvlJc w:val="left"/>
      <w:pPr>
        <w:ind w:left="780" w:hanging="360"/>
      </w:pPr>
      <w:rPr>
        <w:rFonts w:hint="default"/>
        <w:b/>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748977F2"/>
    <w:multiLevelType w:val="hybridMultilevel"/>
    <w:tmpl w:val="4FC6AFF2"/>
    <w:lvl w:ilvl="0" w:tplc="BFF8054A">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A4A40A6"/>
    <w:multiLevelType w:val="hybridMultilevel"/>
    <w:tmpl w:val="BDD6336C"/>
    <w:lvl w:ilvl="0" w:tplc="04090001">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21" w15:restartNumberingAfterBreak="0">
    <w:nsid w:val="7D655733"/>
    <w:multiLevelType w:val="hybridMultilevel"/>
    <w:tmpl w:val="FF1A4318"/>
    <w:lvl w:ilvl="0" w:tplc="9A147B8C">
      <w:start w:val="1"/>
      <w:numFmt w:val="bullet"/>
      <w:lvlText w:val=""/>
      <w:lvlJc w:val="left"/>
      <w:pPr>
        <w:ind w:left="1050" w:hanging="420"/>
      </w:pPr>
      <w:rPr>
        <w:rFonts w:ascii="Wingdings" w:hAnsi="Wingdings" w:hint="default"/>
      </w:rPr>
    </w:lvl>
    <w:lvl w:ilvl="1" w:tplc="04090003" w:tentative="1">
      <w:start w:val="1"/>
      <w:numFmt w:val="bullet"/>
      <w:lvlText w:val=""/>
      <w:lvlJc w:val="left"/>
      <w:pPr>
        <w:ind w:left="1470" w:hanging="420"/>
      </w:pPr>
      <w:rPr>
        <w:rFonts w:ascii="Wingdings" w:hAnsi="Wingdings" w:hint="default"/>
      </w:rPr>
    </w:lvl>
    <w:lvl w:ilvl="2" w:tplc="04090005"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3" w:tentative="1">
      <w:start w:val="1"/>
      <w:numFmt w:val="bullet"/>
      <w:lvlText w:val=""/>
      <w:lvlJc w:val="left"/>
      <w:pPr>
        <w:ind w:left="2730" w:hanging="420"/>
      </w:pPr>
      <w:rPr>
        <w:rFonts w:ascii="Wingdings" w:hAnsi="Wingdings" w:hint="default"/>
      </w:rPr>
    </w:lvl>
    <w:lvl w:ilvl="5" w:tplc="04090005"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3" w:tentative="1">
      <w:start w:val="1"/>
      <w:numFmt w:val="bullet"/>
      <w:lvlText w:val=""/>
      <w:lvlJc w:val="left"/>
      <w:pPr>
        <w:ind w:left="3990" w:hanging="420"/>
      </w:pPr>
      <w:rPr>
        <w:rFonts w:ascii="Wingdings" w:hAnsi="Wingdings" w:hint="default"/>
      </w:rPr>
    </w:lvl>
    <w:lvl w:ilvl="8" w:tplc="04090005" w:tentative="1">
      <w:start w:val="1"/>
      <w:numFmt w:val="bullet"/>
      <w:lvlText w:val=""/>
      <w:lvlJc w:val="left"/>
      <w:pPr>
        <w:ind w:left="4410" w:hanging="420"/>
      </w:pPr>
      <w:rPr>
        <w:rFonts w:ascii="Wingdings" w:hAnsi="Wingdings" w:hint="default"/>
      </w:rPr>
    </w:lvl>
  </w:abstractNum>
  <w:num w:numId="1">
    <w:abstractNumId w:val="18"/>
  </w:num>
  <w:num w:numId="2">
    <w:abstractNumId w:val="11"/>
  </w:num>
  <w:num w:numId="3">
    <w:abstractNumId w:val="12"/>
  </w:num>
  <w:num w:numId="4">
    <w:abstractNumId w:val="4"/>
  </w:num>
  <w:num w:numId="5">
    <w:abstractNumId w:val="20"/>
  </w:num>
  <w:num w:numId="6">
    <w:abstractNumId w:val="9"/>
  </w:num>
  <w:num w:numId="7">
    <w:abstractNumId w:val="10"/>
  </w:num>
  <w:num w:numId="8">
    <w:abstractNumId w:val="0"/>
  </w:num>
  <w:num w:numId="9">
    <w:abstractNumId w:val="5"/>
  </w:num>
  <w:num w:numId="10">
    <w:abstractNumId w:val="19"/>
  </w:num>
  <w:num w:numId="11">
    <w:abstractNumId w:val="21"/>
  </w:num>
  <w:num w:numId="12">
    <w:abstractNumId w:val="14"/>
  </w:num>
  <w:num w:numId="13">
    <w:abstractNumId w:val="16"/>
  </w:num>
  <w:num w:numId="14">
    <w:abstractNumId w:val="15"/>
  </w:num>
  <w:num w:numId="15">
    <w:abstractNumId w:val="1"/>
  </w:num>
  <w:num w:numId="16">
    <w:abstractNumId w:val="2"/>
  </w:num>
  <w:num w:numId="17">
    <w:abstractNumId w:val="7"/>
  </w:num>
  <w:num w:numId="18">
    <w:abstractNumId w:val="6"/>
  </w:num>
  <w:num w:numId="19">
    <w:abstractNumId w:val="3"/>
  </w:num>
  <w:num w:numId="20">
    <w:abstractNumId w:val="17"/>
  </w:num>
  <w:num w:numId="21">
    <w:abstractNumId w:val="8"/>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4DA5"/>
    <w:rsid w:val="00000910"/>
    <w:rsid w:val="0000316E"/>
    <w:rsid w:val="00005C65"/>
    <w:rsid w:val="00010541"/>
    <w:rsid w:val="0001289B"/>
    <w:rsid w:val="0001395D"/>
    <w:rsid w:val="000200AE"/>
    <w:rsid w:val="00024CEE"/>
    <w:rsid w:val="000279F5"/>
    <w:rsid w:val="00030199"/>
    <w:rsid w:val="00033044"/>
    <w:rsid w:val="0003535E"/>
    <w:rsid w:val="000370AF"/>
    <w:rsid w:val="00040C74"/>
    <w:rsid w:val="000433C2"/>
    <w:rsid w:val="000453C6"/>
    <w:rsid w:val="000500F7"/>
    <w:rsid w:val="00050CA2"/>
    <w:rsid w:val="000563B8"/>
    <w:rsid w:val="00057518"/>
    <w:rsid w:val="00057A10"/>
    <w:rsid w:val="00062A7B"/>
    <w:rsid w:val="00063D86"/>
    <w:rsid w:val="000668A8"/>
    <w:rsid w:val="000768B1"/>
    <w:rsid w:val="000811E0"/>
    <w:rsid w:val="000828CD"/>
    <w:rsid w:val="0008407C"/>
    <w:rsid w:val="00084399"/>
    <w:rsid w:val="00085688"/>
    <w:rsid w:val="00086E6E"/>
    <w:rsid w:val="000920EC"/>
    <w:rsid w:val="00092EC9"/>
    <w:rsid w:val="000932F9"/>
    <w:rsid w:val="000A0865"/>
    <w:rsid w:val="000A286C"/>
    <w:rsid w:val="000A417F"/>
    <w:rsid w:val="000B036E"/>
    <w:rsid w:val="000B0852"/>
    <w:rsid w:val="000B0CB0"/>
    <w:rsid w:val="000B20FC"/>
    <w:rsid w:val="000B43E3"/>
    <w:rsid w:val="000B4B9A"/>
    <w:rsid w:val="000B726B"/>
    <w:rsid w:val="000C1040"/>
    <w:rsid w:val="000C3C75"/>
    <w:rsid w:val="000D0571"/>
    <w:rsid w:val="000D1DCE"/>
    <w:rsid w:val="000D2057"/>
    <w:rsid w:val="000D604B"/>
    <w:rsid w:val="000D6A44"/>
    <w:rsid w:val="000E6E45"/>
    <w:rsid w:val="000F2DBF"/>
    <w:rsid w:val="00100B4C"/>
    <w:rsid w:val="00100C18"/>
    <w:rsid w:val="00103FC0"/>
    <w:rsid w:val="00106CD3"/>
    <w:rsid w:val="00107532"/>
    <w:rsid w:val="00112451"/>
    <w:rsid w:val="00115A76"/>
    <w:rsid w:val="001171F0"/>
    <w:rsid w:val="00123C42"/>
    <w:rsid w:val="0012569D"/>
    <w:rsid w:val="0012597C"/>
    <w:rsid w:val="00130866"/>
    <w:rsid w:val="001341E4"/>
    <w:rsid w:val="00136A90"/>
    <w:rsid w:val="00145CFB"/>
    <w:rsid w:val="00145D1F"/>
    <w:rsid w:val="001500C6"/>
    <w:rsid w:val="00150DB7"/>
    <w:rsid w:val="00154077"/>
    <w:rsid w:val="00154258"/>
    <w:rsid w:val="00157EE6"/>
    <w:rsid w:val="0016199E"/>
    <w:rsid w:val="00161CBE"/>
    <w:rsid w:val="00164B49"/>
    <w:rsid w:val="00166128"/>
    <w:rsid w:val="00170410"/>
    <w:rsid w:val="001733A9"/>
    <w:rsid w:val="001768CF"/>
    <w:rsid w:val="00176BF8"/>
    <w:rsid w:val="0018112E"/>
    <w:rsid w:val="001851C7"/>
    <w:rsid w:val="00190ECB"/>
    <w:rsid w:val="00192100"/>
    <w:rsid w:val="0019359A"/>
    <w:rsid w:val="001957A7"/>
    <w:rsid w:val="001A30B0"/>
    <w:rsid w:val="001A61B4"/>
    <w:rsid w:val="001B0CF5"/>
    <w:rsid w:val="001B1F4E"/>
    <w:rsid w:val="001B4BE6"/>
    <w:rsid w:val="001B6A2A"/>
    <w:rsid w:val="001C2971"/>
    <w:rsid w:val="001C5DD3"/>
    <w:rsid w:val="001C7AE5"/>
    <w:rsid w:val="001D4CA6"/>
    <w:rsid w:val="001D5C37"/>
    <w:rsid w:val="001E26A9"/>
    <w:rsid w:val="001E3318"/>
    <w:rsid w:val="001F0544"/>
    <w:rsid w:val="001F1751"/>
    <w:rsid w:val="001F3E61"/>
    <w:rsid w:val="00200E96"/>
    <w:rsid w:val="002054DC"/>
    <w:rsid w:val="00205540"/>
    <w:rsid w:val="00205634"/>
    <w:rsid w:val="00211139"/>
    <w:rsid w:val="00211746"/>
    <w:rsid w:val="00211813"/>
    <w:rsid w:val="002120E3"/>
    <w:rsid w:val="00213C91"/>
    <w:rsid w:val="00214D5B"/>
    <w:rsid w:val="002173C7"/>
    <w:rsid w:val="002215C9"/>
    <w:rsid w:val="0022285C"/>
    <w:rsid w:val="00225292"/>
    <w:rsid w:val="00230CD1"/>
    <w:rsid w:val="00231549"/>
    <w:rsid w:val="002318A0"/>
    <w:rsid w:val="002343C3"/>
    <w:rsid w:val="002420F8"/>
    <w:rsid w:val="00243A9B"/>
    <w:rsid w:val="0024739E"/>
    <w:rsid w:val="0025614E"/>
    <w:rsid w:val="002641A6"/>
    <w:rsid w:val="0027236A"/>
    <w:rsid w:val="00283222"/>
    <w:rsid w:val="002855D0"/>
    <w:rsid w:val="00290582"/>
    <w:rsid w:val="00292E48"/>
    <w:rsid w:val="00293727"/>
    <w:rsid w:val="002A3138"/>
    <w:rsid w:val="002A67FF"/>
    <w:rsid w:val="002A7BA0"/>
    <w:rsid w:val="002B75D3"/>
    <w:rsid w:val="002C4787"/>
    <w:rsid w:val="002C7C0A"/>
    <w:rsid w:val="002D0456"/>
    <w:rsid w:val="002D462D"/>
    <w:rsid w:val="002E42CA"/>
    <w:rsid w:val="002E50D5"/>
    <w:rsid w:val="002F7382"/>
    <w:rsid w:val="00301D5F"/>
    <w:rsid w:val="00301EF4"/>
    <w:rsid w:val="00304F42"/>
    <w:rsid w:val="003065CB"/>
    <w:rsid w:val="00307AFB"/>
    <w:rsid w:val="00310B37"/>
    <w:rsid w:val="003123C5"/>
    <w:rsid w:val="00312BFB"/>
    <w:rsid w:val="003175D2"/>
    <w:rsid w:val="00322C40"/>
    <w:rsid w:val="003251E4"/>
    <w:rsid w:val="00325820"/>
    <w:rsid w:val="00326A8C"/>
    <w:rsid w:val="00327764"/>
    <w:rsid w:val="00327B25"/>
    <w:rsid w:val="003321C1"/>
    <w:rsid w:val="0033315C"/>
    <w:rsid w:val="00333359"/>
    <w:rsid w:val="0033347F"/>
    <w:rsid w:val="00344077"/>
    <w:rsid w:val="003503FF"/>
    <w:rsid w:val="003528FE"/>
    <w:rsid w:val="003548DE"/>
    <w:rsid w:val="00357735"/>
    <w:rsid w:val="00360640"/>
    <w:rsid w:val="00360CA2"/>
    <w:rsid w:val="00363F7D"/>
    <w:rsid w:val="00365953"/>
    <w:rsid w:val="00372B79"/>
    <w:rsid w:val="00372B92"/>
    <w:rsid w:val="003752D6"/>
    <w:rsid w:val="00384515"/>
    <w:rsid w:val="0038677B"/>
    <w:rsid w:val="003A020F"/>
    <w:rsid w:val="003A2122"/>
    <w:rsid w:val="003B6BC5"/>
    <w:rsid w:val="003C0616"/>
    <w:rsid w:val="003C47D4"/>
    <w:rsid w:val="003C7B62"/>
    <w:rsid w:val="003E77D7"/>
    <w:rsid w:val="003F67E0"/>
    <w:rsid w:val="003F6FA5"/>
    <w:rsid w:val="003F791C"/>
    <w:rsid w:val="00403D27"/>
    <w:rsid w:val="00404199"/>
    <w:rsid w:val="004070FF"/>
    <w:rsid w:val="004105E0"/>
    <w:rsid w:val="00410BE7"/>
    <w:rsid w:val="00410C05"/>
    <w:rsid w:val="00415A04"/>
    <w:rsid w:val="004203DD"/>
    <w:rsid w:val="00420FAD"/>
    <w:rsid w:val="0042127F"/>
    <w:rsid w:val="0042392C"/>
    <w:rsid w:val="00426968"/>
    <w:rsid w:val="00435558"/>
    <w:rsid w:val="00443F39"/>
    <w:rsid w:val="004454BA"/>
    <w:rsid w:val="00451658"/>
    <w:rsid w:val="00451965"/>
    <w:rsid w:val="004576E7"/>
    <w:rsid w:val="00473808"/>
    <w:rsid w:val="00473A8E"/>
    <w:rsid w:val="0047432C"/>
    <w:rsid w:val="0047478E"/>
    <w:rsid w:val="0047649E"/>
    <w:rsid w:val="00476E3C"/>
    <w:rsid w:val="004805BE"/>
    <w:rsid w:val="00480C3F"/>
    <w:rsid w:val="00483FFF"/>
    <w:rsid w:val="0049465C"/>
    <w:rsid w:val="00497783"/>
    <w:rsid w:val="004A0A29"/>
    <w:rsid w:val="004A655D"/>
    <w:rsid w:val="004B0303"/>
    <w:rsid w:val="004B29DC"/>
    <w:rsid w:val="004C003F"/>
    <w:rsid w:val="004C21AD"/>
    <w:rsid w:val="004D224A"/>
    <w:rsid w:val="004D29FD"/>
    <w:rsid w:val="004E5DC8"/>
    <w:rsid w:val="004E5E20"/>
    <w:rsid w:val="004F02A7"/>
    <w:rsid w:val="004F1099"/>
    <w:rsid w:val="004F604A"/>
    <w:rsid w:val="004F6FFF"/>
    <w:rsid w:val="00500674"/>
    <w:rsid w:val="00507343"/>
    <w:rsid w:val="00507F47"/>
    <w:rsid w:val="00510ADF"/>
    <w:rsid w:val="005114CC"/>
    <w:rsid w:val="005125AD"/>
    <w:rsid w:val="00513DD9"/>
    <w:rsid w:val="00514934"/>
    <w:rsid w:val="005158EA"/>
    <w:rsid w:val="0052086E"/>
    <w:rsid w:val="00537C86"/>
    <w:rsid w:val="00544DFA"/>
    <w:rsid w:val="00545C77"/>
    <w:rsid w:val="0054726A"/>
    <w:rsid w:val="00552672"/>
    <w:rsid w:val="005528D9"/>
    <w:rsid w:val="00554EB8"/>
    <w:rsid w:val="0056550B"/>
    <w:rsid w:val="00566653"/>
    <w:rsid w:val="005673FE"/>
    <w:rsid w:val="00572790"/>
    <w:rsid w:val="0057561B"/>
    <w:rsid w:val="00582743"/>
    <w:rsid w:val="00585A12"/>
    <w:rsid w:val="00586C7D"/>
    <w:rsid w:val="005878B3"/>
    <w:rsid w:val="0058791A"/>
    <w:rsid w:val="005879BC"/>
    <w:rsid w:val="0059299D"/>
    <w:rsid w:val="00595828"/>
    <w:rsid w:val="005A104A"/>
    <w:rsid w:val="005A2882"/>
    <w:rsid w:val="005A3CE4"/>
    <w:rsid w:val="005A50F6"/>
    <w:rsid w:val="005A594E"/>
    <w:rsid w:val="005B1318"/>
    <w:rsid w:val="005B17AB"/>
    <w:rsid w:val="005B1A98"/>
    <w:rsid w:val="005B2259"/>
    <w:rsid w:val="005B39D1"/>
    <w:rsid w:val="005B508E"/>
    <w:rsid w:val="005B618A"/>
    <w:rsid w:val="005B6D72"/>
    <w:rsid w:val="005C120E"/>
    <w:rsid w:val="005C1FFE"/>
    <w:rsid w:val="005C2865"/>
    <w:rsid w:val="005C46F9"/>
    <w:rsid w:val="005C4E73"/>
    <w:rsid w:val="005C6FA3"/>
    <w:rsid w:val="005C7526"/>
    <w:rsid w:val="005D3E4D"/>
    <w:rsid w:val="005D4C9A"/>
    <w:rsid w:val="005D7077"/>
    <w:rsid w:val="005E0233"/>
    <w:rsid w:val="005E0B8A"/>
    <w:rsid w:val="005E0BEE"/>
    <w:rsid w:val="005E72D0"/>
    <w:rsid w:val="005E7929"/>
    <w:rsid w:val="005F2517"/>
    <w:rsid w:val="005F3E7C"/>
    <w:rsid w:val="005F44BE"/>
    <w:rsid w:val="005F5ED5"/>
    <w:rsid w:val="00600083"/>
    <w:rsid w:val="00607BC8"/>
    <w:rsid w:val="006106FB"/>
    <w:rsid w:val="00610F67"/>
    <w:rsid w:val="00611790"/>
    <w:rsid w:val="00611A7F"/>
    <w:rsid w:val="00612DE5"/>
    <w:rsid w:val="00613637"/>
    <w:rsid w:val="00630BED"/>
    <w:rsid w:val="006357D6"/>
    <w:rsid w:val="00635F5C"/>
    <w:rsid w:val="00637E33"/>
    <w:rsid w:val="00646C53"/>
    <w:rsid w:val="0064776A"/>
    <w:rsid w:val="006513A1"/>
    <w:rsid w:val="00657415"/>
    <w:rsid w:val="006621D5"/>
    <w:rsid w:val="00662C58"/>
    <w:rsid w:val="00665E72"/>
    <w:rsid w:val="0066614E"/>
    <w:rsid w:val="00666571"/>
    <w:rsid w:val="00670353"/>
    <w:rsid w:val="0067176F"/>
    <w:rsid w:val="0067242F"/>
    <w:rsid w:val="00672544"/>
    <w:rsid w:val="00674391"/>
    <w:rsid w:val="00674A2B"/>
    <w:rsid w:val="00680525"/>
    <w:rsid w:val="00681009"/>
    <w:rsid w:val="00682360"/>
    <w:rsid w:val="006850B2"/>
    <w:rsid w:val="00686285"/>
    <w:rsid w:val="006879D0"/>
    <w:rsid w:val="006900FA"/>
    <w:rsid w:val="00693E69"/>
    <w:rsid w:val="006A4A79"/>
    <w:rsid w:val="006A5FA3"/>
    <w:rsid w:val="006B1296"/>
    <w:rsid w:val="006B4FC2"/>
    <w:rsid w:val="006B65A8"/>
    <w:rsid w:val="006B6CCA"/>
    <w:rsid w:val="006C084C"/>
    <w:rsid w:val="006C277D"/>
    <w:rsid w:val="006C3730"/>
    <w:rsid w:val="006D0651"/>
    <w:rsid w:val="006D10F9"/>
    <w:rsid w:val="006D329E"/>
    <w:rsid w:val="006D5D76"/>
    <w:rsid w:val="006E034A"/>
    <w:rsid w:val="006E526C"/>
    <w:rsid w:val="006E5FDF"/>
    <w:rsid w:val="006F089D"/>
    <w:rsid w:val="006F0F76"/>
    <w:rsid w:val="006F1A54"/>
    <w:rsid w:val="006F4C74"/>
    <w:rsid w:val="006F5E05"/>
    <w:rsid w:val="006F67FB"/>
    <w:rsid w:val="00706E8A"/>
    <w:rsid w:val="0071257D"/>
    <w:rsid w:val="00720100"/>
    <w:rsid w:val="00720E23"/>
    <w:rsid w:val="00723AA4"/>
    <w:rsid w:val="00725C6C"/>
    <w:rsid w:val="00726507"/>
    <w:rsid w:val="00733CCC"/>
    <w:rsid w:val="00734DFA"/>
    <w:rsid w:val="00743530"/>
    <w:rsid w:val="007510E0"/>
    <w:rsid w:val="00753B9C"/>
    <w:rsid w:val="0075465D"/>
    <w:rsid w:val="00756FD0"/>
    <w:rsid w:val="00763676"/>
    <w:rsid w:val="0076774E"/>
    <w:rsid w:val="00774DC6"/>
    <w:rsid w:val="00777F8A"/>
    <w:rsid w:val="00786864"/>
    <w:rsid w:val="00787620"/>
    <w:rsid w:val="00790665"/>
    <w:rsid w:val="007A1905"/>
    <w:rsid w:val="007A642A"/>
    <w:rsid w:val="007B27D7"/>
    <w:rsid w:val="007B4538"/>
    <w:rsid w:val="007B6EE5"/>
    <w:rsid w:val="007C25C3"/>
    <w:rsid w:val="007C2884"/>
    <w:rsid w:val="007C3603"/>
    <w:rsid w:val="007D0B00"/>
    <w:rsid w:val="007D1451"/>
    <w:rsid w:val="007D44FF"/>
    <w:rsid w:val="007E17A4"/>
    <w:rsid w:val="007E4983"/>
    <w:rsid w:val="007E589E"/>
    <w:rsid w:val="007E6CED"/>
    <w:rsid w:val="007F000F"/>
    <w:rsid w:val="007F1944"/>
    <w:rsid w:val="007F4AD5"/>
    <w:rsid w:val="007F599F"/>
    <w:rsid w:val="007F68CC"/>
    <w:rsid w:val="00802987"/>
    <w:rsid w:val="0082021F"/>
    <w:rsid w:val="00825A02"/>
    <w:rsid w:val="008273A3"/>
    <w:rsid w:val="00830857"/>
    <w:rsid w:val="00843759"/>
    <w:rsid w:val="00852B7A"/>
    <w:rsid w:val="00865FE1"/>
    <w:rsid w:val="00866DE4"/>
    <w:rsid w:val="00870D73"/>
    <w:rsid w:val="00872828"/>
    <w:rsid w:val="008734C5"/>
    <w:rsid w:val="00874B01"/>
    <w:rsid w:val="008816AE"/>
    <w:rsid w:val="00892B75"/>
    <w:rsid w:val="008951A9"/>
    <w:rsid w:val="008A04D8"/>
    <w:rsid w:val="008A3216"/>
    <w:rsid w:val="008A3340"/>
    <w:rsid w:val="008A3F59"/>
    <w:rsid w:val="008A42A4"/>
    <w:rsid w:val="008A5B8C"/>
    <w:rsid w:val="008B1006"/>
    <w:rsid w:val="008B333C"/>
    <w:rsid w:val="008C1624"/>
    <w:rsid w:val="008C1A60"/>
    <w:rsid w:val="008C3B0C"/>
    <w:rsid w:val="008D009B"/>
    <w:rsid w:val="008D787E"/>
    <w:rsid w:val="008E7BD9"/>
    <w:rsid w:val="008F05D2"/>
    <w:rsid w:val="008F0C04"/>
    <w:rsid w:val="008F1CB7"/>
    <w:rsid w:val="008F4261"/>
    <w:rsid w:val="008F6228"/>
    <w:rsid w:val="008F6622"/>
    <w:rsid w:val="008F690A"/>
    <w:rsid w:val="008F6D9F"/>
    <w:rsid w:val="009010B3"/>
    <w:rsid w:val="00901DA0"/>
    <w:rsid w:val="00904C62"/>
    <w:rsid w:val="00915239"/>
    <w:rsid w:val="00924238"/>
    <w:rsid w:val="00925814"/>
    <w:rsid w:val="00925DFF"/>
    <w:rsid w:val="00930655"/>
    <w:rsid w:val="00932799"/>
    <w:rsid w:val="00932B80"/>
    <w:rsid w:val="00933061"/>
    <w:rsid w:val="00942CB2"/>
    <w:rsid w:val="00947056"/>
    <w:rsid w:val="0095321C"/>
    <w:rsid w:val="00957CBF"/>
    <w:rsid w:val="00962246"/>
    <w:rsid w:val="00971779"/>
    <w:rsid w:val="0097504E"/>
    <w:rsid w:val="00975655"/>
    <w:rsid w:val="009873D9"/>
    <w:rsid w:val="00991BB8"/>
    <w:rsid w:val="00992F84"/>
    <w:rsid w:val="00994158"/>
    <w:rsid w:val="00994C9F"/>
    <w:rsid w:val="00994FA8"/>
    <w:rsid w:val="00994FE2"/>
    <w:rsid w:val="00995D26"/>
    <w:rsid w:val="009A4980"/>
    <w:rsid w:val="009A4FCD"/>
    <w:rsid w:val="009A73C0"/>
    <w:rsid w:val="009B2394"/>
    <w:rsid w:val="009B444E"/>
    <w:rsid w:val="009C480E"/>
    <w:rsid w:val="009C4E66"/>
    <w:rsid w:val="009C6D2E"/>
    <w:rsid w:val="009D05DD"/>
    <w:rsid w:val="009D2880"/>
    <w:rsid w:val="009D2FB1"/>
    <w:rsid w:val="009D579E"/>
    <w:rsid w:val="009D580C"/>
    <w:rsid w:val="009D5E61"/>
    <w:rsid w:val="009D7BEB"/>
    <w:rsid w:val="009E54FE"/>
    <w:rsid w:val="009E5F30"/>
    <w:rsid w:val="009E69E7"/>
    <w:rsid w:val="009E6D3B"/>
    <w:rsid w:val="009F0F58"/>
    <w:rsid w:val="009F3DB7"/>
    <w:rsid w:val="009F6973"/>
    <w:rsid w:val="00A00F24"/>
    <w:rsid w:val="00A01E8B"/>
    <w:rsid w:val="00A01F63"/>
    <w:rsid w:val="00A06442"/>
    <w:rsid w:val="00A11FF7"/>
    <w:rsid w:val="00A12C0D"/>
    <w:rsid w:val="00A12F8B"/>
    <w:rsid w:val="00A2287D"/>
    <w:rsid w:val="00A25391"/>
    <w:rsid w:val="00A276A2"/>
    <w:rsid w:val="00A27E80"/>
    <w:rsid w:val="00A324C1"/>
    <w:rsid w:val="00A33A6F"/>
    <w:rsid w:val="00A33C3D"/>
    <w:rsid w:val="00A41908"/>
    <w:rsid w:val="00A43BE5"/>
    <w:rsid w:val="00A445BB"/>
    <w:rsid w:val="00A52E61"/>
    <w:rsid w:val="00A54DA5"/>
    <w:rsid w:val="00A623C7"/>
    <w:rsid w:val="00A64460"/>
    <w:rsid w:val="00A6523D"/>
    <w:rsid w:val="00A725F0"/>
    <w:rsid w:val="00A73508"/>
    <w:rsid w:val="00A73806"/>
    <w:rsid w:val="00A74B63"/>
    <w:rsid w:val="00A77305"/>
    <w:rsid w:val="00A81EA4"/>
    <w:rsid w:val="00A90395"/>
    <w:rsid w:val="00A9078D"/>
    <w:rsid w:val="00A92B5B"/>
    <w:rsid w:val="00A93DD2"/>
    <w:rsid w:val="00A93F81"/>
    <w:rsid w:val="00A9650C"/>
    <w:rsid w:val="00AA1C63"/>
    <w:rsid w:val="00AA1D59"/>
    <w:rsid w:val="00AA3421"/>
    <w:rsid w:val="00AA34A9"/>
    <w:rsid w:val="00AB0A86"/>
    <w:rsid w:val="00AB14C3"/>
    <w:rsid w:val="00AB59C1"/>
    <w:rsid w:val="00AB66F9"/>
    <w:rsid w:val="00AC267B"/>
    <w:rsid w:val="00AD0C8B"/>
    <w:rsid w:val="00AD516B"/>
    <w:rsid w:val="00AD5AEE"/>
    <w:rsid w:val="00AE1AB2"/>
    <w:rsid w:val="00AE2B47"/>
    <w:rsid w:val="00AE73A6"/>
    <w:rsid w:val="00B018BB"/>
    <w:rsid w:val="00B02318"/>
    <w:rsid w:val="00B03206"/>
    <w:rsid w:val="00B03D49"/>
    <w:rsid w:val="00B109BA"/>
    <w:rsid w:val="00B1132E"/>
    <w:rsid w:val="00B11FF7"/>
    <w:rsid w:val="00B12988"/>
    <w:rsid w:val="00B17761"/>
    <w:rsid w:val="00B213EF"/>
    <w:rsid w:val="00B21D83"/>
    <w:rsid w:val="00B22BF6"/>
    <w:rsid w:val="00B31632"/>
    <w:rsid w:val="00B46243"/>
    <w:rsid w:val="00B475E4"/>
    <w:rsid w:val="00B5142F"/>
    <w:rsid w:val="00B60BBC"/>
    <w:rsid w:val="00B666CD"/>
    <w:rsid w:val="00B66893"/>
    <w:rsid w:val="00B7075C"/>
    <w:rsid w:val="00B71C85"/>
    <w:rsid w:val="00B7236B"/>
    <w:rsid w:val="00B77B15"/>
    <w:rsid w:val="00B8098E"/>
    <w:rsid w:val="00B8319B"/>
    <w:rsid w:val="00B8372D"/>
    <w:rsid w:val="00B8467F"/>
    <w:rsid w:val="00B90F73"/>
    <w:rsid w:val="00B91A80"/>
    <w:rsid w:val="00B91BAC"/>
    <w:rsid w:val="00B9316B"/>
    <w:rsid w:val="00B9343A"/>
    <w:rsid w:val="00B97E66"/>
    <w:rsid w:val="00BA24AB"/>
    <w:rsid w:val="00BA7DEC"/>
    <w:rsid w:val="00BB0236"/>
    <w:rsid w:val="00BB1D7A"/>
    <w:rsid w:val="00BB27AF"/>
    <w:rsid w:val="00BB2DA3"/>
    <w:rsid w:val="00BB3B86"/>
    <w:rsid w:val="00BC0E6C"/>
    <w:rsid w:val="00BC370E"/>
    <w:rsid w:val="00BC62ED"/>
    <w:rsid w:val="00BD0B84"/>
    <w:rsid w:val="00BD2FDF"/>
    <w:rsid w:val="00BD3A66"/>
    <w:rsid w:val="00BD55BE"/>
    <w:rsid w:val="00BD6320"/>
    <w:rsid w:val="00BD6941"/>
    <w:rsid w:val="00BE16E1"/>
    <w:rsid w:val="00BE1930"/>
    <w:rsid w:val="00BE6EB3"/>
    <w:rsid w:val="00BF4F69"/>
    <w:rsid w:val="00C0331E"/>
    <w:rsid w:val="00C0338C"/>
    <w:rsid w:val="00C054FC"/>
    <w:rsid w:val="00C065C4"/>
    <w:rsid w:val="00C1104C"/>
    <w:rsid w:val="00C14AB2"/>
    <w:rsid w:val="00C16653"/>
    <w:rsid w:val="00C216E8"/>
    <w:rsid w:val="00C22940"/>
    <w:rsid w:val="00C23B4B"/>
    <w:rsid w:val="00C26B08"/>
    <w:rsid w:val="00C30B7E"/>
    <w:rsid w:val="00C41A34"/>
    <w:rsid w:val="00C45B87"/>
    <w:rsid w:val="00C47EC7"/>
    <w:rsid w:val="00C5241C"/>
    <w:rsid w:val="00C6035E"/>
    <w:rsid w:val="00C6100C"/>
    <w:rsid w:val="00C61A57"/>
    <w:rsid w:val="00C61AC7"/>
    <w:rsid w:val="00C62759"/>
    <w:rsid w:val="00C64C68"/>
    <w:rsid w:val="00C67057"/>
    <w:rsid w:val="00C67927"/>
    <w:rsid w:val="00C7550D"/>
    <w:rsid w:val="00C87766"/>
    <w:rsid w:val="00C91B7B"/>
    <w:rsid w:val="00CA660D"/>
    <w:rsid w:val="00CB6F70"/>
    <w:rsid w:val="00CC00A9"/>
    <w:rsid w:val="00CC115F"/>
    <w:rsid w:val="00CC30BE"/>
    <w:rsid w:val="00CC4C3C"/>
    <w:rsid w:val="00CC5256"/>
    <w:rsid w:val="00CD232D"/>
    <w:rsid w:val="00CD5112"/>
    <w:rsid w:val="00CD52BE"/>
    <w:rsid w:val="00CE6DCD"/>
    <w:rsid w:val="00CF55C0"/>
    <w:rsid w:val="00CF5936"/>
    <w:rsid w:val="00CF7A0F"/>
    <w:rsid w:val="00D004AA"/>
    <w:rsid w:val="00D0223C"/>
    <w:rsid w:val="00D02E4C"/>
    <w:rsid w:val="00D12528"/>
    <w:rsid w:val="00D1606E"/>
    <w:rsid w:val="00D21BBB"/>
    <w:rsid w:val="00D23F59"/>
    <w:rsid w:val="00D25066"/>
    <w:rsid w:val="00D25F03"/>
    <w:rsid w:val="00D32640"/>
    <w:rsid w:val="00D45695"/>
    <w:rsid w:val="00D502CE"/>
    <w:rsid w:val="00D54493"/>
    <w:rsid w:val="00D55AB8"/>
    <w:rsid w:val="00D650EB"/>
    <w:rsid w:val="00D702C3"/>
    <w:rsid w:val="00D725D5"/>
    <w:rsid w:val="00D74440"/>
    <w:rsid w:val="00D75B64"/>
    <w:rsid w:val="00D80D47"/>
    <w:rsid w:val="00D83547"/>
    <w:rsid w:val="00D85006"/>
    <w:rsid w:val="00D85F53"/>
    <w:rsid w:val="00D929A6"/>
    <w:rsid w:val="00D93313"/>
    <w:rsid w:val="00D941FF"/>
    <w:rsid w:val="00D9540D"/>
    <w:rsid w:val="00D95939"/>
    <w:rsid w:val="00DA22FA"/>
    <w:rsid w:val="00DA7CDD"/>
    <w:rsid w:val="00DB0DB0"/>
    <w:rsid w:val="00DB429D"/>
    <w:rsid w:val="00DB5EC0"/>
    <w:rsid w:val="00DC30A2"/>
    <w:rsid w:val="00DC4443"/>
    <w:rsid w:val="00DC466E"/>
    <w:rsid w:val="00DC7E96"/>
    <w:rsid w:val="00DD0280"/>
    <w:rsid w:val="00DD24F3"/>
    <w:rsid w:val="00DD3035"/>
    <w:rsid w:val="00DE13E3"/>
    <w:rsid w:val="00DE543E"/>
    <w:rsid w:val="00DF1872"/>
    <w:rsid w:val="00DF6947"/>
    <w:rsid w:val="00E0201F"/>
    <w:rsid w:val="00E0212D"/>
    <w:rsid w:val="00E05BFF"/>
    <w:rsid w:val="00E05E1F"/>
    <w:rsid w:val="00E105E4"/>
    <w:rsid w:val="00E12AAD"/>
    <w:rsid w:val="00E1715E"/>
    <w:rsid w:val="00E20558"/>
    <w:rsid w:val="00E23D6C"/>
    <w:rsid w:val="00E27103"/>
    <w:rsid w:val="00E2768C"/>
    <w:rsid w:val="00E27CD9"/>
    <w:rsid w:val="00E31E99"/>
    <w:rsid w:val="00E31F32"/>
    <w:rsid w:val="00E3485F"/>
    <w:rsid w:val="00E558D6"/>
    <w:rsid w:val="00E55E8D"/>
    <w:rsid w:val="00E560FE"/>
    <w:rsid w:val="00E56E81"/>
    <w:rsid w:val="00E60B4D"/>
    <w:rsid w:val="00E65A07"/>
    <w:rsid w:val="00E65A55"/>
    <w:rsid w:val="00E6672A"/>
    <w:rsid w:val="00E7202C"/>
    <w:rsid w:val="00E762F2"/>
    <w:rsid w:val="00E80E28"/>
    <w:rsid w:val="00E81365"/>
    <w:rsid w:val="00E8339D"/>
    <w:rsid w:val="00E91B4A"/>
    <w:rsid w:val="00E948F1"/>
    <w:rsid w:val="00E960A3"/>
    <w:rsid w:val="00EA17D5"/>
    <w:rsid w:val="00EA3870"/>
    <w:rsid w:val="00EA5BF8"/>
    <w:rsid w:val="00EB07CE"/>
    <w:rsid w:val="00EB799B"/>
    <w:rsid w:val="00EC2C6E"/>
    <w:rsid w:val="00EC5412"/>
    <w:rsid w:val="00EC647B"/>
    <w:rsid w:val="00ED1640"/>
    <w:rsid w:val="00ED1EAE"/>
    <w:rsid w:val="00ED25ED"/>
    <w:rsid w:val="00ED4B89"/>
    <w:rsid w:val="00EE1803"/>
    <w:rsid w:val="00EE5526"/>
    <w:rsid w:val="00EE6A9E"/>
    <w:rsid w:val="00EF1116"/>
    <w:rsid w:val="00F01A6D"/>
    <w:rsid w:val="00F01ACE"/>
    <w:rsid w:val="00F04722"/>
    <w:rsid w:val="00F056BE"/>
    <w:rsid w:val="00F101F5"/>
    <w:rsid w:val="00F13A00"/>
    <w:rsid w:val="00F14E77"/>
    <w:rsid w:val="00F17442"/>
    <w:rsid w:val="00F23D76"/>
    <w:rsid w:val="00F24842"/>
    <w:rsid w:val="00F3544D"/>
    <w:rsid w:val="00F358BF"/>
    <w:rsid w:val="00F36B42"/>
    <w:rsid w:val="00F41814"/>
    <w:rsid w:val="00F42F3B"/>
    <w:rsid w:val="00F4717D"/>
    <w:rsid w:val="00F5281C"/>
    <w:rsid w:val="00F62573"/>
    <w:rsid w:val="00F63867"/>
    <w:rsid w:val="00F65F76"/>
    <w:rsid w:val="00F6617C"/>
    <w:rsid w:val="00F67E16"/>
    <w:rsid w:val="00F67F43"/>
    <w:rsid w:val="00F70D2F"/>
    <w:rsid w:val="00F73601"/>
    <w:rsid w:val="00F7445C"/>
    <w:rsid w:val="00F74676"/>
    <w:rsid w:val="00F75E2B"/>
    <w:rsid w:val="00F764D2"/>
    <w:rsid w:val="00F80218"/>
    <w:rsid w:val="00F8109B"/>
    <w:rsid w:val="00F845E4"/>
    <w:rsid w:val="00F92878"/>
    <w:rsid w:val="00F96602"/>
    <w:rsid w:val="00FA2C1C"/>
    <w:rsid w:val="00FA3F92"/>
    <w:rsid w:val="00FA70B6"/>
    <w:rsid w:val="00FB21FC"/>
    <w:rsid w:val="00FC09F4"/>
    <w:rsid w:val="00FC5A8B"/>
    <w:rsid w:val="00FC7505"/>
    <w:rsid w:val="00FD5C4D"/>
    <w:rsid w:val="00FE04C1"/>
    <w:rsid w:val="00FE07CC"/>
    <w:rsid w:val="00FE0FE3"/>
    <w:rsid w:val="00FE221D"/>
    <w:rsid w:val="00FE23D5"/>
    <w:rsid w:val="00FE296A"/>
    <w:rsid w:val="00FE29EA"/>
    <w:rsid w:val="00FE2F8A"/>
    <w:rsid w:val="00FE67CB"/>
    <w:rsid w:val="00FF1CC0"/>
    <w:rsid w:val="00FF3B71"/>
    <w:rsid w:val="00FF498B"/>
    <w:rsid w:val="17AF6ED0"/>
    <w:rsid w:val="42AA2F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00DF3E"/>
  <w15:docId w15:val="{BD4F5427-C5BA-4514-B0C6-369CCC632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rFonts w:ascii="Calibri" w:eastAsia="Calibri" w:hAnsi="Calibri" w:cs="Calibri"/>
      <w:color w:val="000000"/>
      <w:kern w:val="2"/>
      <w:sz w:val="22"/>
      <w:szCs w:val="22"/>
    </w:rPr>
  </w:style>
  <w:style w:type="paragraph" w:styleId="2">
    <w:name w:val="heading 2"/>
    <w:basedOn w:val="a"/>
    <w:next w:val="a"/>
    <w:link w:val="20"/>
    <w:uiPriority w:val="9"/>
    <w:unhideWhenUsed/>
    <w:qFormat/>
    <w:rsid w:val="009D5E61"/>
    <w:pPr>
      <w:keepNext/>
      <w:keepLines/>
      <w:widowControl w:val="0"/>
      <w:spacing w:before="260" w:after="260" w:line="416" w:lineRule="auto"/>
      <w:jc w:val="both"/>
      <w:outlineLvl w:val="1"/>
    </w:pPr>
    <w:rPr>
      <w:rFonts w:asciiTheme="majorHAnsi" w:eastAsiaTheme="majorEastAsia" w:hAnsiTheme="majorHAnsi" w:cstheme="majorBidi"/>
      <w:b/>
      <w:bCs/>
      <w:color w:val="auto"/>
      <w:sz w:val="32"/>
      <w:szCs w:val="32"/>
    </w:rPr>
  </w:style>
  <w:style w:type="paragraph" w:styleId="3">
    <w:name w:val="heading 3"/>
    <w:basedOn w:val="a"/>
    <w:next w:val="a"/>
    <w:link w:val="30"/>
    <w:uiPriority w:val="9"/>
    <w:semiHidden/>
    <w:unhideWhenUsed/>
    <w:qFormat/>
    <w:rsid w:val="00C6035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table" w:customStyle="1" w:styleId="TableGrid">
    <w:name w:val="TableGrid"/>
    <w:qFormat/>
    <w:tblPr>
      <w:tblCellMar>
        <w:top w:w="0" w:type="dxa"/>
        <w:left w:w="0" w:type="dxa"/>
        <w:bottom w:w="0" w:type="dxa"/>
        <w:right w:w="0" w:type="dxa"/>
      </w:tblCellMar>
    </w:tblPr>
  </w:style>
  <w:style w:type="character" w:customStyle="1" w:styleId="a6">
    <w:name w:val="页眉 字符"/>
    <w:basedOn w:val="a0"/>
    <w:link w:val="a5"/>
    <w:uiPriority w:val="99"/>
    <w:qFormat/>
    <w:rPr>
      <w:rFonts w:ascii="Calibri" w:eastAsia="Calibri" w:hAnsi="Calibri" w:cs="Calibri"/>
      <w:color w:val="000000"/>
      <w:sz w:val="18"/>
      <w:szCs w:val="18"/>
    </w:rPr>
  </w:style>
  <w:style w:type="character" w:customStyle="1" w:styleId="a4">
    <w:name w:val="页脚 字符"/>
    <w:basedOn w:val="a0"/>
    <w:link w:val="a3"/>
    <w:uiPriority w:val="99"/>
    <w:qFormat/>
    <w:rPr>
      <w:rFonts w:ascii="Calibri" w:eastAsia="Calibri" w:hAnsi="Calibri" w:cs="Calibri"/>
      <w:color w:val="000000"/>
      <w:sz w:val="18"/>
      <w:szCs w:val="18"/>
    </w:rPr>
  </w:style>
  <w:style w:type="paragraph" w:styleId="a7">
    <w:name w:val="Body Text"/>
    <w:aliases w:val="表格"/>
    <w:basedOn w:val="a"/>
    <w:link w:val="a8"/>
    <w:qFormat/>
    <w:rsid w:val="00170410"/>
    <w:pPr>
      <w:widowControl w:val="0"/>
      <w:spacing w:before="60" w:after="60" w:line="360" w:lineRule="auto"/>
      <w:ind w:firstLineChars="200" w:firstLine="200"/>
      <w:jc w:val="both"/>
    </w:pPr>
    <w:rPr>
      <w:rFonts w:eastAsia="宋体" w:cs="Times New Roman"/>
      <w:color w:val="auto"/>
      <w:sz w:val="24"/>
      <w:lang w:val="x-none" w:eastAsia="x-none"/>
    </w:rPr>
  </w:style>
  <w:style w:type="character" w:customStyle="1" w:styleId="Char">
    <w:name w:val="正文文本 Char"/>
    <w:basedOn w:val="a0"/>
    <w:uiPriority w:val="99"/>
    <w:semiHidden/>
    <w:rsid w:val="00170410"/>
    <w:rPr>
      <w:rFonts w:ascii="Calibri" w:eastAsia="Calibri" w:hAnsi="Calibri" w:cs="Calibri"/>
      <w:color w:val="000000"/>
      <w:kern w:val="2"/>
      <w:sz w:val="22"/>
      <w:szCs w:val="22"/>
    </w:rPr>
  </w:style>
  <w:style w:type="character" w:customStyle="1" w:styleId="a8">
    <w:name w:val="正文文本 字符"/>
    <w:aliases w:val="表格 字符"/>
    <w:basedOn w:val="a0"/>
    <w:link w:val="a7"/>
    <w:qFormat/>
    <w:rsid w:val="00170410"/>
    <w:rPr>
      <w:rFonts w:ascii="Calibri" w:eastAsia="宋体" w:hAnsi="Calibri" w:cs="Times New Roman"/>
      <w:kern w:val="2"/>
      <w:sz w:val="24"/>
      <w:szCs w:val="22"/>
      <w:lang w:val="x-none" w:eastAsia="x-none"/>
    </w:rPr>
  </w:style>
  <w:style w:type="paragraph" w:styleId="a9">
    <w:name w:val="List Paragraph"/>
    <w:basedOn w:val="a"/>
    <w:uiPriority w:val="34"/>
    <w:qFormat/>
    <w:rsid w:val="00170410"/>
    <w:pPr>
      <w:widowControl w:val="0"/>
      <w:spacing w:after="0" w:line="240" w:lineRule="auto"/>
      <w:ind w:firstLineChars="200" w:firstLine="420"/>
      <w:jc w:val="both"/>
    </w:pPr>
    <w:rPr>
      <w:rFonts w:asciiTheme="minorHAnsi" w:eastAsiaTheme="minorEastAsia" w:hAnsiTheme="minorHAnsi" w:cstheme="minorBidi"/>
      <w:color w:val="auto"/>
      <w:sz w:val="21"/>
    </w:rPr>
  </w:style>
  <w:style w:type="paragraph" w:styleId="aa">
    <w:name w:val="Balloon Text"/>
    <w:basedOn w:val="a"/>
    <w:link w:val="ab"/>
    <w:uiPriority w:val="99"/>
    <w:semiHidden/>
    <w:unhideWhenUsed/>
    <w:rsid w:val="009D579E"/>
    <w:pPr>
      <w:spacing w:after="0" w:line="240" w:lineRule="auto"/>
    </w:pPr>
    <w:rPr>
      <w:sz w:val="18"/>
      <w:szCs w:val="18"/>
    </w:rPr>
  </w:style>
  <w:style w:type="character" w:customStyle="1" w:styleId="ab">
    <w:name w:val="批注框文本 字符"/>
    <w:basedOn w:val="a0"/>
    <w:link w:val="aa"/>
    <w:uiPriority w:val="99"/>
    <w:semiHidden/>
    <w:rsid w:val="009D579E"/>
    <w:rPr>
      <w:rFonts w:ascii="Calibri" w:eastAsia="Calibri" w:hAnsi="Calibri" w:cs="Calibri"/>
      <w:color w:val="000000"/>
      <w:kern w:val="2"/>
      <w:sz w:val="18"/>
      <w:szCs w:val="18"/>
    </w:rPr>
  </w:style>
  <w:style w:type="character" w:customStyle="1" w:styleId="20">
    <w:name w:val="标题 2 字符"/>
    <w:basedOn w:val="a0"/>
    <w:link w:val="2"/>
    <w:uiPriority w:val="9"/>
    <w:rsid w:val="009D5E61"/>
    <w:rPr>
      <w:rFonts w:asciiTheme="majorHAnsi" w:eastAsiaTheme="majorEastAsia" w:hAnsiTheme="majorHAnsi" w:cstheme="majorBidi"/>
      <w:b/>
      <w:bCs/>
      <w:kern w:val="2"/>
      <w:sz w:val="32"/>
      <w:szCs w:val="32"/>
    </w:rPr>
  </w:style>
  <w:style w:type="character" w:styleId="ac">
    <w:name w:val="annotation reference"/>
    <w:basedOn w:val="a0"/>
    <w:uiPriority w:val="99"/>
    <w:semiHidden/>
    <w:unhideWhenUsed/>
    <w:rsid w:val="007A1905"/>
    <w:rPr>
      <w:sz w:val="21"/>
      <w:szCs w:val="21"/>
    </w:rPr>
  </w:style>
  <w:style w:type="paragraph" w:styleId="ad">
    <w:name w:val="annotation text"/>
    <w:basedOn w:val="a"/>
    <w:link w:val="ae"/>
    <w:uiPriority w:val="99"/>
    <w:semiHidden/>
    <w:unhideWhenUsed/>
    <w:rsid w:val="007A1905"/>
  </w:style>
  <w:style w:type="character" w:customStyle="1" w:styleId="ae">
    <w:name w:val="批注文字 字符"/>
    <w:basedOn w:val="a0"/>
    <w:link w:val="ad"/>
    <w:uiPriority w:val="99"/>
    <w:semiHidden/>
    <w:rsid w:val="007A1905"/>
    <w:rPr>
      <w:rFonts w:ascii="Calibri" w:eastAsia="Calibri" w:hAnsi="Calibri" w:cs="Calibri"/>
      <w:color w:val="000000"/>
      <w:kern w:val="2"/>
      <w:sz w:val="22"/>
      <w:szCs w:val="22"/>
    </w:rPr>
  </w:style>
  <w:style w:type="paragraph" w:styleId="af">
    <w:name w:val="annotation subject"/>
    <w:basedOn w:val="ad"/>
    <w:next w:val="ad"/>
    <w:link w:val="af0"/>
    <w:uiPriority w:val="99"/>
    <w:semiHidden/>
    <w:unhideWhenUsed/>
    <w:rsid w:val="007A1905"/>
    <w:rPr>
      <w:b/>
      <w:bCs/>
    </w:rPr>
  </w:style>
  <w:style w:type="character" w:customStyle="1" w:styleId="af0">
    <w:name w:val="批注主题 字符"/>
    <w:basedOn w:val="ae"/>
    <w:link w:val="af"/>
    <w:uiPriority w:val="99"/>
    <w:semiHidden/>
    <w:rsid w:val="007A1905"/>
    <w:rPr>
      <w:rFonts w:ascii="Calibri" w:eastAsia="Calibri" w:hAnsi="Calibri" w:cs="Calibri"/>
      <w:b/>
      <w:bCs/>
      <w:color w:val="000000"/>
      <w:kern w:val="2"/>
      <w:sz w:val="22"/>
      <w:szCs w:val="22"/>
    </w:rPr>
  </w:style>
  <w:style w:type="paragraph" w:styleId="af1">
    <w:name w:val="Normal (Web)"/>
    <w:basedOn w:val="a"/>
    <w:uiPriority w:val="99"/>
    <w:unhideWhenUsed/>
    <w:rsid w:val="00AE1AB2"/>
    <w:pPr>
      <w:spacing w:before="100" w:beforeAutospacing="1" w:after="100" w:afterAutospacing="1" w:line="240" w:lineRule="auto"/>
    </w:pPr>
    <w:rPr>
      <w:rFonts w:ascii="宋体" w:eastAsia="宋体" w:hAnsi="宋体" w:cs="宋体"/>
      <w:color w:val="auto"/>
      <w:kern w:val="0"/>
      <w:sz w:val="24"/>
      <w:szCs w:val="24"/>
    </w:rPr>
  </w:style>
  <w:style w:type="character" w:customStyle="1" w:styleId="bjh-p">
    <w:name w:val="bjh-p"/>
    <w:basedOn w:val="a0"/>
    <w:rsid w:val="00AE1AB2"/>
  </w:style>
  <w:style w:type="character" w:styleId="af2">
    <w:name w:val="Strong"/>
    <w:basedOn w:val="a0"/>
    <w:uiPriority w:val="22"/>
    <w:qFormat/>
    <w:rsid w:val="00C054FC"/>
    <w:rPr>
      <w:b/>
      <w:bCs/>
    </w:rPr>
  </w:style>
  <w:style w:type="character" w:customStyle="1" w:styleId="30">
    <w:name w:val="标题 3 字符"/>
    <w:basedOn w:val="a0"/>
    <w:link w:val="3"/>
    <w:uiPriority w:val="9"/>
    <w:semiHidden/>
    <w:rsid w:val="00C6035E"/>
    <w:rPr>
      <w:rFonts w:ascii="Calibri" w:eastAsia="Calibri" w:hAnsi="Calibri" w:cs="Calibri"/>
      <w:b/>
      <w:bCs/>
      <w:color w:val="000000"/>
      <w:kern w:val="2"/>
      <w:sz w:val="32"/>
      <w:szCs w:val="32"/>
    </w:rPr>
  </w:style>
  <w:style w:type="character" w:styleId="af3">
    <w:name w:val="Hyperlink"/>
    <w:basedOn w:val="a0"/>
    <w:uiPriority w:val="99"/>
    <w:semiHidden/>
    <w:unhideWhenUsed/>
    <w:rsid w:val="00C6035E"/>
    <w:rPr>
      <w:color w:val="0000FF"/>
      <w:u w:val="single"/>
    </w:rPr>
  </w:style>
  <w:style w:type="character" w:styleId="af4">
    <w:name w:val="Emphasis"/>
    <w:basedOn w:val="a0"/>
    <w:uiPriority w:val="20"/>
    <w:qFormat/>
    <w:rsid w:val="00C6035E"/>
    <w:rPr>
      <w:i/>
      <w:iCs/>
    </w:rPr>
  </w:style>
  <w:style w:type="paragraph" w:styleId="af5">
    <w:name w:val="Plain Text"/>
    <w:basedOn w:val="a"/>
    <w:link w:val="af6"/>
    <w:uiPriority w:val="99"/>
    <w:unhideWhenUsed/>
    <w:rsid w:val="00BB27AF"/>
    <w:pPr>
      <w:spacing w:after="0" w:line="360" w:lineRule="auto"/>
      <w:ind w:firstLineChars="200" w:firstLine="200"/>
    </w:pPr>
    <w:rPr>
      <w:rFonts w:ascii="等线" w:eastAsia="等线" w:hAnsi="Courier New" w:cs="Courier New"/>
      <w:color w:val="auto"/>
      <w:sz w:val="24"/>
      <w:szCs w:val="24"/>
    </w:rPr>
  </w:style>
  <w:style w:type="character" w:customStyle="1" w:styleId="Char0">
    <w:name w:val="纯文本 Char"/>
    <w:basedOn w:val="a0"/>
    <w:uiPriority w:val="99"/>
    <w:semiHidden/>
    <w:rsid w:val="00BB27AF"/>
    <w:rPr>
      <w:rFonts w:ascii="宋体" w:eastAsia="宋体" w:hAnsi="Courier New" w:cs="Courier New"/>
      <w:color w:val="000000"/>
      <w:kern w:val="2"/>
      <w:sz w:val="21"/>
      <w:szCs w:val="21"/>
    </w:rPr>
  </w:style>
  <w:style w:type="character" w:customStyle="1" w:styleId="af6">
    <w:name w:val="纯文本 字符"/>
    <w:link w:val="af5"/>
    <w:uiPriority w:val="99"/>
    <w:rsid w:val="00BB27AF"/>
    <w:rPr>
      <w:rFonts w:ascii="等线" w:eastAsia="等线" w:hAnsi="Courier New" w:cs="Courier New"/>
      <w:kern w:val="2"/>
      <w:sz w:val="24"/>
      <w:szCs w:val="24"/>
    </w:rPr>
  </w:style>
  <w:style w:type="character" w:customStyle="1" w:styleId="text-only">
    <w:name w:val="text-only"/>
    <w:basedOn w:val="a0"/>
    <w:rsid w:val="006F67FB"/>
  </w:style>
  <w:style w:type="paragraph" w:styleId="HTML">
    <w:name w:val="HTML Preformatted"/>
    <w:basedOn w:val="a"/>
    <w:link w:val="HTML0"/>
    <w:uiPriority w:val="99"/>
    <w:unhideWhenUsed/>
    <w:rsid w:val="006F67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宋体" w:eastAsia="宋体" w:hAnsi="宋体" w:cs="宋体"/>
      <w:color w:val="auto"/>
      <w:kern w:val="0"/>
      <w:sz w:val="24"/>
      <w:szCs w:val="24"/>
    </w:rPr>
  </w:style>
  <w:style w:type="character" w:customStyle="1" w:styleId="HTML0">
    <w:name w:val="HTML 预设格式 字符"/>
    <w:basedOn w:val="a0"/>
    <w:link w:val="HTML"/>
    <w:uiPriority w:val="99"/>
    <w:rsid w:val="006F67FB"/>
    <w:rPr>
      <w:rFonts w:ascii="宋体" w:eastAsia="宋体" w:hAnsi="宋体" w:cs="宋体"/>
      <w:sz w:val="24"/>
      <w:szCs w:val="24"/>
    </w:rPr>
  </w:style>
  <w:style w:type="table" w:styleId="af7">
    <w:name w:val="Table Grid"/>
    <w:basedOn w:val="a1"/>
    <w:uiPriority w:val="39"/>
    <w:rsid w:val="00612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58398">
      <w:bodyDiv w:val="1"/>
      <w:marLeft w:val="0"/>
      <w:marRight w:val="0"/>
      <w:marTop w:val="0"/>
      <w:marBottom w:val="0"/>
      <w:divBdr>
        <w:top w:val="none" w:sz="0" w:space="0" w:color="auto"/>
        <w:left w:val="none" w:sz="0" w:space="0" w:color="auto"/>
        <w:bottom w:val="none" w:sz="0" w:space="0" w:color="auto"/>
        <w:right w:val="none" w:sz="0" w:space="0" w:color="auto"/>
      </w:divBdr>
      <w:divsChild>
        <w:div w:id="1186945631">
          <w:marLeft w:val="0"/>
          <w:marRight w:val="0"/>
          <w:marTop w:val="0"/>
          <w:marBottom w:val="0"/>
          <w:divBdr>
            <w:top w:val="none" w:sz="0" w:space="0" w:color="auto"/>
            <w:left w:val="none" w:sz="0" w:space="0" w:color="auto"/>
            <w:bottom w:val="none" w:sz="0" w:space="0" w:color="auto"/>
            <w:right w:val="none" w:sz="0" w:space="0" w:color="auto"/>
          </w:divBdr>
        </w:div>
      </w:divsChild>
    </w:div>
    <w:div w:id="28989674">
      <w:bodyDiv w:val="1"/>
      <w:marLeft w:val="0"/>
      <w:marRight w:val="0"/>
      <w:marTop w:val="0"/>
      <w:marBottom w:val="0"/>
      <w:divBdr>
        <w:top w:val="none" w:sz="0" w:space="0" w:color="auto"/>
        <w:left w:val="none" w:sz="0" w:space="0" w:color="auto"/>
        <w:bottom w:val="none" w:sz="0" w:space="0" w:color="auto"/>
        <w:right w:val="none" w:sz="0" w:space="0" w:color="auto"/>
      </w:divBdr>
      <w:divsChild>
        <w:div w:id="396514053">
          <w:marLeft w:val="0"/>
          <w:marRight w:val="0"/>
          <w:marTop w:val="0"/>
          <w:marBottom w:val="0"/>
          <w:divBdr>
            <w:top w:val="none" w:sz="0" w:space="0" w:color="auto"/>
            <w:left w:val="none" w:sz="0" w:space="0" w:color="auto"/>
            <w:bottom w:val="none" w:sz="0" w:space="0" w:color="auto"/>
            <w:right w:val="none" w:sz="0" w:space="0" w:color="auto"/>
          </w:divBdr>
        </w:div>
      </w:divsChild>
    </w:div>
    <w:div w:id="56170855">
      <w:bodyDiv w:val="1"/>
      <w:marLeft w:val="0"/>
      <w:marRight w:val="0"/>
      <w:marTop w:val="0"/>
      <w:marBottom w:val="0"/>
      <w:divBdr>
        <w:top w:val="none" w:sz="0" w:space="0" w:color="auto"/>
        <w:left w:val="none" w:sz="0" w:space="0" w:color="auto"/>
        <w:bottom w:val="none" w:sz="0" w:space="0" w:color="auto"/>
        <w:right w:val="none" w:sz="0" w:space="0" w:color="auto"/>
      </w:divBdr>
    </w:div>
    <w:div w:id="59524507">
      <w:bodyDiv w:val="1"/>
      <w:marLeft w:val="0"/>
      <w:marRight w:val="0"/>
      <w:marTop w:val="0"/>
      <w:marBottom w:val="0"/>
      <w:divBdr>
        <w:top w:val="none" w:sz="0" w:space="0" w:color="auto"/>
        <w:left w:val="none" w:sz="0" w:space="0" w:color="auto"/>
        <w:bottom w:val="none" w:sz="0" w:space="0" w:color="auto"/>
        <w:right w:val="none" w:sz="0" w:space="0" w:color="auto"/>
      </w:divBdr>
      <w:divsChild>
        <w:div w:id="1980108117">
          <w:marLeft w:val="0"/>
          <w:marRight w:val="0"/>
          <w:marTop w:val="0"/>
          <w:marBottom w:val="0"/>
          <w:divBdr>
            <w:top w:val="none" w:sz="0" w:space="0" w:color="auto"/>
            <w:left w:val="none" w:sz="0" w:space="0" w:color="auto"/>
            <w:bottom w:val="none" w:sz="0" w:space="0" w:color="auto"/>
            <w:right w:val="none" w:sz="0" w:space="0" w:color="auto"/>
          </w:divBdr>
        </w:div>
      </w:divsChild>
    </w:div>
    <w:div w:id="74406023">
      <w:bodyDiv w:val="1"/>
      <w:marLeft w:val="0"/>
      <w:marRight w:val="0"/>
      <w:marTop w:val="0"/>
      <w:marBottom w:val="0"/>
      <w:divBdr>
        <w:top w:val="none" w:sz="0" w:space="0" w:color="auto"/>
        <w:left w:val="none" w:sz="0" w:space="0" w:color="auto"/>
        <w:bottom w:val="none" w:sz="0" w:space="0" w:color="auto"/>
        <w:right w:val="none" w:sz="0" w:space="0" w:color="auto"/>
      </w:divBdr>
    </w:div>
    <w:div w:id="145900316">
      <w:bodyDiv w:val="1"/>
      <w:marLeft w:val="0"/>
      <w:marRight w:val="0"/>
      <w:marTop w:val="0"/>
      <w:marBottom w:val="0"/>
      <w:divBdr>
        <w:top w:val="none" w:sz="0" w:space="0" w:color="auto"/>
        <w:left w:val="none" w:sz="0" w:space="0" w:color="auto"/>
        <w:bottom w:val="none" w:sz="0" w:space="0" w:color="auto"/>
        <w:right w:val="none" w:sz="0" w:space="0" w:color="auto"/>
      </w:divBdr>
    </w:div>
    <w:div w:id="215554450">
      <w:bodyDiv w:val="1"/>
      <w:marLeft w:val="0"/>
      <w:marRight w:val="0"/>
      <w:marTop w:val="0"/>
      <w:marBottom w:val="0"/>
      <w:divBdr>
        <w:top w:val="none" w:sz="0" w:space="0" w:color="auto"/>
        <w:left w:val="none" w:sz="0" w:space="0" w:color="auto"/>
        <w:bottom w:val="none" w:sz="0" w:space="0" w:color="auto"/>
        <w:right w:val="none" w:sz="0" w:space="0" w:color="auto"/>
      </w:divBdr>
      <w:divsChild>
        <w:div w:id="1665402003">
          <w:marLeft w:val="274"/>
          <w:marRight w:val="0"/>
          <w:marTop w:val="0"/>
          <w:marBottom w:val="0"/>
          <w:divBdr>
            <w:top w:val="none" w:sz="0" w:space="0" w:color="auto"/>
            <w:left w:val="none" w:sz="0" w:space="0" w:color="auto"/>
            <w:bottom w:val="none" w:sz="0" w:space="0" w:color="auto"/>
            <w:right w:val="none" w:sz="0" w:space="0" w:color="auto"/>
          </w:divBdr>
        </w:div>
      </w:divsChild>
    </w:div>
    <w:div w:id="261885144">
      <w:bodyDiv w:val="1"/>
      <w:marLeft w:val="0"/>
      <w:marRight w:val="0"/>
      <w:marTop w:val="0"/>
      <w:marBottom w:val="0"/>
      <w:divBdr>
        <w:top w:val="none" w:sz="0" w:space="0" w:color="auto"/>
        <w:left w:val="none" w:sz="0" w:space="0" w:color="auto"/>
        <w:bottom w:val="none" w:sz="0" w:space="0" w:color="auto"/>
        <w:right w:val="none" w:sz="0" w:space="0" w:color="auto"/>
      </w:divBdr>
    </w:div>
    <w:div w:id="335808757">
      <w:bodyDiv w:val="1"/>
      <w:marLeft w:val="0"/>
      <w:marRight w:val="0"/>
      <w:marTop w:val="0"/>
      <w:marBottom w:val="0"/>
      <w:divBdr>
        <w:top w:val="none" w:sz="0" w:space="0" w:color="auto"/>
        <w:left w:val="none" w:sz="0" w:space="0" w:color="auto"/>
        <w:bottom w:val="none" w:sz="0" w:space="0" w:color="auto"/>
        <w:right w:val="none" w:sz="0" w:space="0" w:color="auto"/>
      </w:divBdr>
    </w:div>
    <w:div w:id="355234381">
      <w:bodyDiv w:val="1"/>
      <w:marLeft w:val="0"/>
      <w:marRight w:val="0"/>
      <w:marTop w:val="0"/>
      <w:marBottom w:val="0"/>
      <w:divBdr>
        <w:top w:val="none" w:sz="0" w:space="0" w:color="auto"/>
        <w:left w:val="none" w:sz="0" w:space="0" w:color="auto"/>
        <w:bottom w:val="none" w:sz="0" w:space="0" w:color="auto"/>
        <w:right w:val="none" w:sz="0" w:space="0" w:color="auto"/>
      </w:divBdr>
    </w:div>
    <w:div w:id="376129688">
      <w:bodyDiv w:val="1"/>
      <w:marLeft w:val="0"/>
      <w:marRight w:val="0"/>
      <w:marTop w:val="0"/>
      <w:marBottom w:val="0"/>
      <w:divBdr>
        <w:top w:val="none" w:sz="0" w:space="0" w:color="auto"/>
        <w:left w:val="none" w:sz="0" w:space="0" w:color="auto"/>
        <w:bottom w:val="none" w:sz="0" w:space="0" w:color="auto"/>
        <w:right w:val="none" w:sz="0" w:space="0" w:color="auto"/>
      </w:divBdr>
    </w:div>
    <w:div w:id="428890902">
      <w:bodyDiv w:val="1"/>
      <w:marLeft w:val="0"/>
      <w:marRight w:val="0"/>
      <w:marTop w:val="0"/>
      <w:marBottom w:val="0"/>
      <w:divBdr>
        <w:top w:val="none" w:sz="0" w:space="0" w:color="auto"/>
        <w:left w:val="none" w:sz="0" w:space="0" w:color="auto"/>
        <w:bottom w:val="none" w:sz="0" w:space="0" w:color="auto"/>
        <w:right w:val="none" w:sz="0" w:space="0" w:color="auto"/>
      </w:divBdr>
    </w:div>
    <w:div w:id="501504646">
      <w:bodyDiv w:val="1"/>
      <w:marLeft w:val="0"/>
      <w:marRight w:val="0"/>
      <w:marTop w:val="0"/>
      <w:marBottom w:val="0"/>
      <w:divBdr>
        <w:top w:val="none" w:sz="0" w:space="0" w:color="auto"/>
        <w:left w:val="none" w:sz="0" w:space="0" w:color="auto"/>
        <w:bottom w:val="none" w:sz="0" w:space="0" w:color="auto"/>
        <w:right w:val="none" w:sz="0" w:space="0" w:color="auto"/>
      </w:divBdr>
      <w:divsChild>
        <w:div w:id="1330062402">
          <w:marLeft w:val="0"/>
          <w:marRight w:val="0"/>
          <w:marTop w:val="0"/>
          <w:marBottom w:val="0"/>
          <w:divBdr>
            <w:top w:val="none" w:sz="0" w:space="0" w:color="auto"/>
            <w:left w:val="none" w:sz="0" w:space="0" w:color="auto"/>
            <w:bottom w:val="none" w:sz="0" w:space="0" w:color="auto"/>
            <w:right w:val="none" w:sz="0" w:space="0" w:color="auto"/>
          </w:divBdr>
        </w:div>
      </w:divsChild>
    </w:div>
    <w:div w:id="512884820">
      <w:bodyDiv w:val="1"/>
      <w:marLeft w:val="0"/>
      <w:marRight w:val="0"/>
      <w:marTop w:val="0"/>
      <w:marBottom w:val="0"/>
      <w:divBdr>
        <w:top w:val="none" w:sz="0" w:space="0" w:color="auto"/>
        <w:left w:val="none" w:sz="0" w:space="0" w:color="auto"/>
        <w:bottom w:val="none" w:sz="0" w:space="0" w:color="auto"/>
        <w:right w:val="none" w:sz="0" w:space="0" w:color="auto"/>
      </w:divBdr>
      <w:divsChild>
        <w:div w:id="683635704">
          <w:marLeft w:val="0"/>
          <w:marRight w:val="0"/>
          <w:marTop w:val="0"/>
          <w:marBottom w:val="0"/>
          <w:divBdr>
            <w:top w:val="none" w:sz="0" w:space="0" w:color="auto"/>
            <w:left w:val="none" w:sz="0" w:space="0" w:color="auto"/>
            <w:bottom w:val="none" w:sz="0" w:space="0" w:color="auto"/>
            <w:right w:val="none" w:sz="0" w:space="0" w:color="auto"/>
          </w:divBdr>
        </w:div>
      </w:divsChild>
    </w:div>
    <w:div w:id="583344882">
      <w:bodyDiv w:val="1"/>
      <w:marLeft w:val="0"/>
      <w:marRight w:val="0"/>
      <w:marTop w:val="0"/>
      <w:marBottom w:val="0"/>
      <w:divBdr>
        <w:top w:val="none" w:sz="0" w:space="0" w:color="auto"/>
        <w:left w:val="none" w:sz="0" w:space="0" w:color="auto"/>
        <w:bottom w:val="none" w:sz="0" w:space="0" w:color="auto"/>
        <w:right w:val="none" w:sz="0" w:space="0" w:color="auto"/>
      </w:divBdr>
      <w:divsChild>
        <w:div w:id="1258249563">
          <w:marLeft w:val="0"/>
          <w:marRight w:val="0"/>
          <w:marTop w:val="0"/>
          <w:marBottom w:val="0"/>
          <w:divBdr>
            <w:top w:val="none" w:sz="0" w:space="0" w:color="auto"/>
            <w:left w:val="none" w:sz="0" w:space="0" w:color="auto"/>
            <w:bottom w:val="none" w:sz="0" w:space="0" w:color="auto"/>
            <w:right w:val="none" w:sz="0" w:space="0" w:color="auto"/>
          </w:divBdr>
        </w:div>
      </w:divsChild>
    </w:div>
    <w:div w:id="665943660">
      <w:bodyDiv w:val="1"/>
      <w:marLeft w:val="0"/>
      <w:marRight w:val="0"/>
      <w:marTop w:val="0"/>
      <w:marBottom w:val="0"/>
      <w:divBdr>
        <w:top w:val="none" w:sz="0" w:space="0" w:color="auto"/>
        <w:left w:val="none" w:sz="0" w:space="0" w:color="auto"/>
        <w:bottom w:val="none" w:sz="0" w:space="0" w:color="auto"/>
        <w:right w:val="none" w:sz="0" w:space="0" w:color="auto"/>
      </w:divBdr>
      <w:divsChild>
        <w:div w:id="1758940690">
          <w:marLeft w:val="0"/>
          <w:marRight w:val="0"/>
          <w:marTop w:val="0"/>
          <w:marBottom w:val="0"/>
          <w:divBdr>
            <w:top w:val="none" w:sz="0" w:space="0" w:color="auto"/>
            <w:left w:val="none" w:sz="0" w:space="0" w:color="auto"/>
            <w:bottom w:val="none" w:sz="0" w:space="0" w:color="auto"/>
            <w:right w:val="none" w:sz="0" w:space="0" w:color="auto"/>
          </w:divBdr>
        </w:div>
      </w:divsChild>
    </w:div>
    <w:div w:id="728655967">
      <w:bodyDiv w:val="1"/>
      <w:marLeft w:val="0"/>
      <w:marRight w:val="0"/>
      <w:marTop w:val="0"/>
      <w:marBottom w:val="0"/>
      <w:divBdr>
        <w:top w:val="none" w:sz="0" w:space="0" w:color="auto"/>
        <w:left w:val="none" w:sz="0" w:space="0" w:color="auto"/>
        <w:bottom w:val="none" w:sz="0" w:space="0" w:color="auto"/>
        <w:right w:val="none" w:sz="0" w:space="0" w:color="auto"/>
      </w:divBdr>
      <w:divsChild>
        <w:div w:id="515582873">
          <w:marLeft w:val="0"/>
          <w:marRight w:val="0"/>
          <w:marTop w:val="0"/>
          <w:marBottom w:val="0"/>
          <w:divBdr>
            <w:top w:val="none" w:sz="0" w:space="0" w:color="auto"/>
            <w:left w:val="none" w:sz="0" w:space="0" w:color="auto"/>
            <w:bottom w:val="none" w:sz="0" w:space="0" w:color="auto"/>
            <w:right w:val="none" w:sz="0" w:space="0" w:color="auto"/>
          </w:divBdr>
        </w:div>
      </w:divsChild>
    </w:div>
    <w:div w:id="805271830">
      <w:bodyDiv w:val="1"/>
      <w:marLeft w:val="0"/>
      <w:marRight w:val="0"/>
      <w:marTop w:val="0"/>
      <w:marBottom w:val="0"/>
      <w:divBdr>
        <w:top w:val="none" w:sz="0" w:space="0" w:color="auto"/>
        <w:left w:val="none" w:sz="0" w:space="0" w:color="auto"/>
        <w:bottom w:val="none" w:sz="0" w:space="0" w:color="auto"/>
        <w:right w:val="none" w:sz="0" w:space="0" w:color="auto"/>
      </w:divBdr>
      <w:divsChild>
        <w:div w:id="1404067094">
          <w:marLeft w:val="0"/>
          <w:marRight w:val="0"/>
          <w:marTop w:val="0"/>
          <w:marBottom w:val="0"/>
          <w:divBdr>
            <w:top w:val="none" w:sz="0" w:space="0" w:color="auto"/>
            <w:left w:val="none" w:sz="0" w:space="0" w:color="auto"/>
            <w:bottom w:val="none" w:sz="0" w:space="0" w:color="auto"/>
            <w:right w:val="none" w:sz="0" w:space="0" w:color="auto"/>
          </w:divBdr>
        </w:div>
      </w:divsChild>
    </w:div>
    <w:div w:id="1002390588">
      <w:bodyDiv w:val="1"/>
      <w:marLeft w:val="0"/>
      <w:marRight w:val="0"/>
      <w:marTop w:val="0"/>
      <w:marBottom w:val="0"/>
      <w:divBdr>
        <w:top w:val="none" w:sz="0" w:space="0" w:color="auto"/>
        <w:left w:val="none" w:sz="0" w:space="0" w:color="auto"/>
        <w:bottom w:val="none" w:sz="0" w:space="0" w:color="auto"/>
        <w:right w:val="none" w:sz="0" w:space="0" w:color="auto"/>
      </w:divBdr>
    </w:div>
    <w:div w:id="1069499846">
      <w:bodyDiv w:val="1"/>
      <w:marLeft w:val="0"/>
      <w:marRight w:val="0"/>
      <w:marTop w:val="0"/>
      <w:marBottom w:val="0"/>
      <w:divBdr>
        <w:top w:val="none" w:sz="0" w:space="0" w:color="auto"/>
        <w:left w:val="none" w:sz="0" w:space="0" w:color="auto"/>
        <w:bottom w:val="none" w:sz="0" w:space="0" w:color="auto"/>
        <w:right w:val="none" w:sz="0" w:space="0" w:color="auto"/>
      </w:divBdr>
    </w:div>
    <w:div w:id="1096363365">
      <w:bodyDiv w:val="1"/>
      <w:marLeft w:val="0"/>
      <w:marRight w:val="0"/>
      <w:marTop w:val="0"/>
      <w:marBottom w:val="0"/>
      <w:divBdr>
        <w:top w:val="none" w:sz="0" w:space="0" w:color="auto"/>
        <w:left w:val="none" w:sz="0" w:space="0" w:color="auto"/>
        <w:bottom w:val="none" w:sz="0" w:space="0" w:color="auto"/>
        <w:right w:val="none" w:sz="0" w:space="0" w:color="auto"/>
      </w:divBdr>
      <w:divsChild>
        <w:div w:id="763184575">
          <w:marLeft w:val="0"/>
          <w:marRight w:val="0"/>
          <w:marTop w:val="0"/>
          <w:marBottom w:val="0"/>
          <w:divBdr>
            <w:top w:val="none" w:sz="0" w:space="0" w:color="auto"/>
            <w:left w:val="none" w:sz="0" w:space="0" w:color="auto"/>
            <w:bottom w:val="none" w:sz="0" w:space="0" w:color="auto"/>
            <w:right w:val="none" w:sz="0" w:space="0" w:color="auto"/>
          </w:divBdr>
        </w:div>
      </w:divsChild>
    </w:div>
    <w:div w:id="1113477305">
      <w:bodyDiv w:val="1"/>
      <w:marLeft w:val="0"/>
      <w:marRight w:val="0"/>
      <w:marTop w:val="0"/>
      <w:marBottom w:val="0"/>
      <w:divBdr>
        <w:top w:val="none" w:sz="0" w:space="0" w:color="auto"/>
        <w:left w:val="none" w:sz="0" w:space="0" w:color="auto"/>
        <w:bottom w:val="none" w:sz="0" w:space="0" w:color="auto"/>
        <w:right w:val="none" w:sz="0" w:space="0" w:color="auto"/>
      </w:divBdr>
    </w:div>
    <w:div w:id="1135879080">
      <w:bodyDiv w:val="1"/>
      <w:marLeft w:val="0"/>
      <w:marRight w:val="0"/>
      <w:marTop w:val="0"/>
      <w:marBottom w:val="0"/>
      <w:divBdr>
        <w:top w:val="none" w:sz="0" w:space="0" w:color="auto"/>
        <w:left w:val="none" w:sz="0" w:space="0" w:color="auto"/>
        <w:bottom w:val="none" w:sz="0" w:space="0" w:color="auto"/>
        <w:right w:val="none" w:sz="0" w:space="0" w:color="auto"/>
      </w:divBdr>
    </w:div>
    <w:div w:id="1166820427">
      <w:bodyDiv w:val="1"/>
      <w:marLeft w:val="0"/>
      <w:marRight w:val="0"/>
      <w:marTop w:val="0"/>
      <w:marBottom w:val="0"/>
      <w:divBdr>
        <w:top w:val="none" w:sz="0" w:space="0" w:color="auto"/>
        <w:left w:val="none" w:sz="0" w:space="0" w:color="auto"/>
        <w:bottom w:val="none" w:sz="0" w:space="0" w:color="auto"/>
        <w:right w:val="none" w:sz="0" w:space="0" w:color="auto"/>
      </w:divBdr>
      <w:divsChild>
        <w:div w:id="1396783090">
          <w:marLeft w:val="0"/>
          <w:marRight w:val="0"/>
          <w:marTop w:val="0"/>
          <w:marBottom w:val="0"/>
          <w:divBdr>
            <w:top w:val="none" w:sz="0" w:space="0" w:color="auto"/>
            <w:left w:val="none" w:sz="0" w:space="0" w:color="auto"/>
            <w:bottom w:val="none" w:sz="0" w:space="0" w:color="auto"/>
            <w:right w:val="none" w:sz="0" w:space="0" w:color="auto"/>
          </w:divBdr>
        </w:div>
      </w:divsChild>
    </w:div>
    <w:div w:id="1188838064">
      <w:bodyDiv w:val="1"/>
      <w:marLeft w:val="0"/>
      <w:marRight w:val="0"/>
      <w:marTop w:val="0"/>
      <w:marBottom w:val="0"/>
      <w:divBdr>
        <w:top w:val="none" w:sz="0" w:space="0" w:color="auto"/>
        <w:left w:val="none" w:sz="0" w:space="0" w:color="auto"/>
        <w:bottom w:val="none" w:sz="0" w:space="0" w:color="auto"/>
        <w:right w:val="none" w:sz="0" w:space="0" w:color="auto"/>
      </w:divBdr>
      <w:divsChild>
        <w:div w:id="1619607685">
          <w:marLeft w:val="0"/>
          <w:marRight w:val="0"/>
          <w:marTop w:val="0"/>
          <w:marBottom w:val="0"/>
          <w:divBdr>
            <w:top w:val="none" w:sz="0" w:space="0" w:color="auto"/>
            <w:left w:val="none" w:sz="0" w:space="0" w:color="auto"/>
            <w:bottom w:val="none" w:sz="0" w:space="0" w:color="auto"/>
            <w:right w:val="none" w:sz="0" w:space="0" w:color="auto"/>
          </w:divBdr>
        </w:div>
      </w:divsChild>
    </w:div>
    <w:div w:id="1213153488">
      <w:bodyDiv w:val="1"/>
      <w:marLeft w:val="0"/>
      <w:marRight w:val="0"/>
      <w:marTop w:val="0"/>
      <w:marBottom w:val="0"/>
      <w:divBdr>
        <w:top w:val="none" w:sz="0" w:space="0" w:color="auto"/>
        <w:left w:val="none" w:sz="0" w:space="0" w:color="auto"/>
        <w:bottom w:val="none" w:sz="0" w:space="0" w:color="auto"/>
        <w:right w:val="none" w:sz="0" w:space="0" w:color="auto"/>
      </w:divBdr>
    </w:div>
    <w:div w:id="1215921460">
      <w:bodyDiv w:val="1"/>
      <w:marLeft w:val="0"/>
      <w:marRight w:val="0"/>
      <w:marTop w:val="0"/>
      <w:marBottom w:val="0"/>
      <w:divBdr>
        <w:top w:val="none" w:sz="0" w:space="0" w:color="auto"/>
        <w:left w:val="none" w:sz="0" w:space="0" w:color="auto"/>
        <w:bottom w:val="none" w:sz="0" w:space="0" w:color="auto"/>
        <w:right w:val="none" w:sz="0" w:space="0" w:color="auto"/>
      </w:divBdr>
      <w:divsChild>
        <w:div w:id="924460834">
          <w:marLeft w:val="0"/>
          <w:marRight w:val="0"/>
          <w:marTop w:val="0"/>
          <w:marBottom w:val="0"/>
          <w:divBdr>
            <w:top w:val="none" w:sz="0" w:space="0" w:color="auto"/>
            <w:left w:val="none" w:sz="0" w:space="0" w:color="auto"/>
            <w:bottom w:val="none" w:sz="0" w:space="0" w:color="auto"/>
            <w:right w:val="none" w:sz="0" w:space="0" w:color="auto"/>
          </w:divBdr>
        </w:div>
      </w:divsChild>
    </w:div>
    <w:div w:id="1260063207">
      <w:bodyDiv w:val="1"/>
      <w:marLeft w:val="0"/>
      <w:marRight w:val="0"/>
      <w:marTop w:val="0"/>
      <w:marBottom w:val="0"/>
      <w:divBdr>
        <w:top w:val="none" w:sz="0" w:space="0" w:color="auto"/>
        <w:left w:val="none" w:sz="0" w:space="0" w:color="auto"/>
        <w:bottom w:val="none" w:sz="0" w:space="0" w:color="auto"/>
        <w:right w:val="none" w:sz="0" w:space="0" w:color="auto"/>
      </w:divBdr>
    </w:div>
    <w:div w:id="1318265022">
      <w:bodyDiv w:val="1"/>
      <w:marLeft w:val="0"/>
      <w:marRight w:val="0"/>
      <w:marTop w:val="0"/>
      <w:marBottom w:val="0"/>
      <w:divBdr>
        <w:top w:val="none" w:sz="0" w:space="0" w:color="auto"/>
        <w:left w:val="none" w:sz="0" w:space="0" w:color="auto"/>
        <w:bottom w:val="none" w:sz="0" w:space="0" w:color="auto"/>
        <w:right w:val="none" w:sz="0" w:space="0" w:color="auto"/>
      </w:divBdr>
    </w:div>
    <w:div w:id="1365867185">
      <w:bodyDiv w:val="1"/>
      <w:marLeft w:val="0"/>
      <w:marRight w:val="0"/>
      <w:marTop w:val="0"/>
      <w:marBottom w:val="0"/>
      <w:divBdr>
        <w:top w:val="none" w:sz="0" w:space="0" w:color="auto"/>
        <w:left w:val="none" w:sz="0" w:space="0" w:color="auto"/>
        <w:bottom w:val="none" w:sz="0" w:space="0" w:color="auto"/>
        <w:right w:val="none" w:sz="0" w:space="0" w:color="auto"/>
      </w:divBdr>
    </w:div>
    <w:div w:id="1370835888">
      <w:bodyDiv w:val="1"/>
      <w:marLeft w:val="0"/>
      <w:marRight w:val="0"/>
      <w:marTop w:val="0"/>
      <w:marBottom w:val="0"/>
      <w:divBdr>
        <w:top w:val="none" w:sz="0" w:space="0" w:color="auto"/>
        <w:left w:val="none" w:sz="0" w:space="0" w:color="auto"/>
        <w:bottom w:val="none" w:sz="0" w:space="0" w:color="auto"/>
        <w:right w:val="none" w:sz="0" w:space="0" w:color="auto"/>
      </w:divBdr>
      <w:divsChild>
        <w:div w:id="1663240408">
          <w:marLeft w:val="0"/>
          <w:marRight w:val="0"/>
          <w:marTop w:val="0"/>
          <w:marBottom w:val="0"/>
          <w:divBdr>
            <w:top w:val="none" w:sz="0" w:space="0" w:color="auto"/>
            <w:left w:val="none" w:sz="0" w:space="0" w:color="auto"/>
            <w:bottom w:val="none" w:sz="0" w:space="0" w:color="auto"/>
            <w:right w:val="none" w:sz="0" w:space="0" w:color="auto"/>
          </w:divBdr>
        </w:div>
      </w:divsChild>
    </w:div>
    <w:div w:id="1429618500">
      <w:bodyDiv w:val="1"/>
      <w:marLeft w:val="0"/>
      <w:marRight w:val="0"/>
      <w:marTop w:val="0"/>
      <w:marBottom w:val="0"/>
      <w:divBdr>
        <w:top w:val="none" w:sz="0" w:space="0" w:color="auto"/>
        <w:left w:val="none" w:sz="0" w:space="0" w:color="auto"/>
        <w:bottom w:val="none" w:sz="0" w:space="0" w:color="auto"/>
        <w:right w:val="none" w:sz="0" w:space="0" w:color="auto"/>
      </w:divBdr>
      <w:divsChild>
        <w:div w:id="634987895">
          <w:marLeft w:val="0"/>
          <w:marRight w:val="0"/>
          <w:marTop w:val="0"/>
          <w:marBottom w:val="0"/>
          <w:divBdr>
            <w:top w:val="none" w:sz="0" w:space="0" w:color="auto"/>
            <w:left w:val="none" w:sz="0" w:space="0" w:color="auto"/>
            <w:bottom w:val="none" w:sz="0" w:space="0" w:color="auto"/>
            <w:right w:val="none" w:sz="0" w:space="0" w:color="auto"/>
          </w:divBdr>
        </w:div>
      </w:divsChild>
    </w:div>
    <w:div w:id="1469854140">
      <w:bodyDiv w:val="1"/>
      <w:marLeft w:val="0"/>
      <w:marRight w:val="0"/>
      <w:marTop w:val="0"/>
      <w:marBottom w:val="0"/>
      <w:divBdr>
        <w:top w:val="none" w:sz="0" w:space="0" w:color="auto"/>
        <w:left w:val="none" w:sz="0" w:space="0" w:color="auto"/>
        <w:bottom w:val="none" w:sz="0" w:space="0" w:color="auto"/>
        <w:right w:val="none" w:sz="0" w:space="0" w:color="auto"/>
      </w:divBdr>
      <w:divsChild>
        <w:div w:id="943614098">
          <w:marLeft w:val="0"/>
          <w:marRight w:val="0"/>
          <w:marTop w:val="0"/>
          <w:marBottom w:val="0"/>
          <w:divBdr>
            <w:top w:val="none" w:sz="0" w:space="0" w:color="auto"/>
            <w:left w:val="none" w:sz="0" w:space="0" w:color="auto"/>
            <w:bottom w:val="none" w:sz="0" w:space="0" w:color="auto"/>
            <w:right w:val="none" w:sz="0" w:space="0" w:color="auto"/>
          </w:divBdr>
        </w:div>
      </w:divsChild>
    </w:div>
    <w:div w:id="1530800271">
      <w:bodyDiv w:val="1"/>
      <w:marLeft w:val="0"/>
      <w:marRight w:val="0"/>
      <w:marTop w:val="0"/>
      <w:marBottom w:val="0"/>
      <w:divBdr>
        <w:top w:val="none" w:sz="0" w:space="0" w:color="auto"/>
        <w:left w:val="none" w:sz="0" w:space="0" w:color="auto"/>
        <w:bottom w:val="none" w:sz="0" w:space="0" w:color="auto"/>
        <w:right w:val="none" w:sz="0" w:space="0" w:color="auto"/>
      </w:divBdr>
    </w:div>
    <w:div w:id="1536456950">
      <w:bodyDiv w:val="1"/>
      <w:marLeft w:val="0"/>
      <w:marRight w:val="0"/>
      <w:marTop w:val="0"/>
      <w:marBottom w:val="0"/>
      <w:divBdr>
        <w:top w:val="none" w:sz="0" w:space="0" w:color="auto"/>
        <w:left w:val="none" w:sz="0" w:space="0" w:color="auto"/>
        <w:bottom w:val="none" w:sz="0" w:space="0" w:color="auto"/>
        <w:right w:val="none" w:sz="0" w:space="0" w:color="auto"/>
      </w:divBdr>
      <w:divsChild>
        <w:div w:id="1707412199">
          <w:marLeft w:val="0"/>
          <w:marRight w:val="0"/>
          <w:marTop w:val="0"/>
          <w:marBottom w:val="0"/>
          <w:divBdr>
            <w:top w:val="none" w:sz="0" w:space="0" w:color="auto"/>
            <w:left w:val="none" w:sz="0" w:space="0" w:color="auto"/>
            <w:bottom w:val="none" w:sz="0" w:space="0" w:color="auto"/>
            <w:right w:val="none" w:sz="0" w:space="0" w:color="auto"/>
          </w:divBdr>
          <w:divsChild>
            <w:div w:id="192575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498770">
      <w:bodyDiv w:val="1"/>
      <w:marLeft w:val="0"/>
      <w:marRight w:val="0"/>
      <w:marTop w:val="0"/>
      <w:marBottom w:val="0"/>
      <w:divBdr>
        <w:top w:val="none" w:sz="0" w:space="0" w:color="auto"/>
        <w:left w:val="none" w:sz="0" w:space="0" w:color="auto"/>
        <w:bottom w:val="none" w:sz="0" w:space="0" w:color="auto"/>
        <w:right w:val="none" w:sz="0" w:space="0" w:color="auto"/>
      </w:divBdr>
      <w:divsChild>
        <w:div w:id="580725260">
          <w:marLeft w:val="274"/>
          <w:marRight w:val="0"/>
          <w:marTop w:val="0"/>
          <w:marBottom w:val="0"/>
          <w:divBdr>
            <w:top w:val="none" w:sz="0" w:space="0" w:color="auto"/>
            <w:left w:val="none" w:sz="0" w:space="0" w:color="auto"/>
            <w:bottom w:val="none" w:sz="0" w:space="0" w:color="auto"/>
            <w:right w:val="none" w:sz="0" w:space="0" w:color="auto"/>
          </w:divBdr>
        </w:div>
        <w:div w:id="1233467665">
          <w:marLeft w:val="274"/>
          <w:marRight w:val="0"/>
          <w:marTop w:val="0"/>
          <w:marBottom w:val="0"/>
          <w:divBdr>
            <w:top w:val="none" w:sz="0" w:space="0" w:color="auto"/>
            <w:left w:val="none" w:sz="0" w:space="0" w:color="auto"/>
            <w:bottom w:val="none" w:sz="0" w:space="0" w:color="auto"/>
            <w:right w:val="none" w:sz="0" w:space="0" w:color="auto"/>
          </w:divBdr>
        </w:div>
        <w:div w:id="1507479186">
          <w:marLeft w:val="274"/>
          <w:marRight w:val="0"/>
          <w:marTop w:val="0"/>
          <w:marBottom w:val="0"/>
          <w:divBdr>
            <w:top w:val="none" w:sz="0" w:space="0" w:color="auto"/>
            <w:left w:val="none" w:sz="0" w:space="0" w:color="auto"/>
            <w:bottom w:val="none" w:sz="0" w:space="0" w:color="auto"/>
            <w:right w:val="none" w:sz="0" w:space="0" w:color="auto"/>
          </w:divBdr>
        </w:div>
      </w:divsChild>
    </w:div>
    <w:div w:id="1603493674">
      <w:bodyDiv w:val="1"/>
      <w:marLeft w:val="0"/>
      <w:marRight w:val="0"/>
      <w:marTop w:val="0"/>
      <w:marBottom w:val="0"/>
      <w:divBdr>
        <w:top w:val="none" w:sz="0" w:space="0" w:color="auto"/>
        <w:left w:val="none" w:sz="0" w:space="0" w:color="auto"/>
        <w:bottom w:val="none" w:sz="0" w:space="0" w:color="auto"/>
        <w:right w:val="none" w:sz="0" w:space="0" w:color="auto"/>
      </w:divBdr>
    </w:div>
    <w:div w:id="1622804680">
      <w:bodyDiv w:val="1"/>
      <w:marLeft w:val="0"/>
      <w:marRight w:val="0"/>
      <w:marTop w:val="0"/>
      <w:marBottom w:val="0"/>
      <w:divBdr>
        <w:top w:val="none" w:sz="0" w:space="0" w:color="auto"/>
        <w:left w:val="none" w:sz="0" w:space="0" w:color="auto"/>
        <w:bottom w:val="none" w:sz="0" w:space="0" w:color="auto"/>
        <w:right w:val="none" w:sz="0" w:space="0" w:color="auto"/>
      </w:divBdr>
    </w:div>
    <w:div w:id="1662462375">
      <w:bodyDiv w:val="1"/>
      <w:marLeft w:val="0"/>
      <w:marRight w:val="0"/>
      <w:marTop w:val="0"/>
      <w:marBottom w:val="0"/>
      <w:divBdr>
        <w:top w:val="none" w:sz="0" w:space="0" w:color="auto"/>
        <w:left w:val="none" w:sz="0" w:space="0" w:color="auto"/>
        <w:bottom w:val="none" w:sz="0" w:space="0" w:color="auto"/>
        <w:right w:val="none" w:sz="0" w:space="0" w:color="auto"/>
      </w:divBdr>
      <w:divsChild>
        <w:div w:id="1086614074">
          <w:marLeft w:val="0"/>
          <w:marRight w:val="0"/>
          <w:marTop w:val="0"/>
          <w:marBottom w:val="0"/>
          <w:divBdr>
            <w:top w:val="none" w:sz="0" w:space="0" w:color="auto"/>
            <w:left w:val="none" w:sz="0" w:space="0" w:color="auto"/>
            <w:bottom w:val="none" w:sz="0" w:space="0" w:color="auto"/>
            <w:right w:val="none" w:sz="0" w:space="0" w:color="auto"/>
          </w:divBdr>
          <w:divsChild>
            <w:div w:id="1212811733">
              <w:marLeft w:val="0"/>
              <w:marRight w:val="0"/>
              <w:marTop w:val="0"/>
              <w:marBottom w:val="0"/>
              <w:divBdr>
                <w:top w:val="none" w:sz="0" w:space="0" w:color="auto"/>
                <w:left w:val="none" w:sz="0" w:space="0" w:color="auto"/>
                <w:bottom w:val="none" w:sz="0" w:space="0" w:color="auto"/>
                <w:right w:val="none" w:sz="0" w:space="0" w:color="auto"/>
              </w:divBdr>
              <w:divsChild>
                <w:div w:id="14888738">
                  <w:marLeft w:val="0"/>
                  <w:marRight w:val="0"/>
                  <w:marTop w:val="0"/>
                  <w:marBottom w:val="0"/>
                  <w:divBdr>
                    <w:top w:val="none" w:sz="0" w:space="0" w:color="auto"/>
                    <w:left w:val="none" w:sz="0" w:space="0" w:color="auto"/>
                    <w:bottom w:val="none" w:sz="0" w:space="0" w:color="auto"/>
                    <w:right w:val="none" w:sz="0" w:space="0" w:color="auto"/>
                  </w:divBdr>
                  <w:divsChild>
                    <w:div w:id="820121204">
                      <w:marLeft w:val="0"/>
                      <w:marRight w:val="0"/>
                      <w:marTop w:val="0"/>
                      <w:marBottom w:val="0"/>
                      <w:divBdr>
                        <w:top w:val="none" w:sz="0" w:space="0" w:color="auto"/>
                        <w:left w:val="none" w:sz="0" w:space="0" w:color="auto"/>
                        <w:bottom w:val="none" w:sz="0" w:space="0" w:color="auto"/>
                        <w:right w:val="none" w:sz="0" w:space="0" w:color="auto"/>
                      </w:divBdr>
                      <w:divsChild>
                        <w:div w:id="1470787550">
                          <w:marLeft w:val="0"/>
                          <w:marRight w:val="0"/>
                          <w:marTop w:val="0"/>
                          <w:marBottom w:val="0"/>
                          <w:divBdr>
                            <w:top w:val="none" w:sz="0" w:space="0" w:color="auto"/>
                            <w:left w:val="none" w:sz="0" w:space="0" w:color="auto"/>
                            <w:bottom w:val="none" w:sz="0" w:space="0" w:color="auto"/>
                            <w:right w:val="none" w:sz="0" w:space="0" w:color="auto"/>
                          </w:divBdr>
                          <w:divsChild>
                            <w:div w:id="199168814">
                              <w:marLeft w:val="0"/>
                              <w:marRight w:val="0"/>
                              <w:marTop w:val="0"/>
                              <w:marBottom w:val="0"/>
                              <w:divBdr>
                                <w:top w:val="none" w:sz="0" w:space="0" w:color="auto"/>
                                <w:left w:val="none" w:sz="0" w:space="0" w:color="auto"/>
                                <w:bottom w:val="none" w:sz="0" w:space="0" w:color="auto"/>
                                <w:right w:val="none" w:sz="0" w:space="0" w:color="auto"/>
                              </w:divBdr>
                              <w:divsChild>
                                <w:div w:id="146552993">
                                  <w:marLeft w:val="0"/>
                                  <w:marRight w:val="0"/>
                                  <w:marTop w:val="0"/>
                                  <w:marBottom w:val="0"/>
                                  <w:divBdr>
                                    <w:top w:val="none" w:sz="0" w:space="0" w:color="auto"/>
                                    <w:left w:val="none" w:sz="0" w:space="0" w:color="auto"/>
                                    <w:bottom w:val="none" w:sz="0" w:space="0" w:color="auto"/>
                                    <w:right w:val="none" w:sz="0" w:space="0" w:color="auto"/>
                                  </w:divBdr>
                                  <w:divsChild>
                                    <w:div w:id="1680153679">
                                      <w:marLeft w:val="0"/>
                                      <w:marRight w:val="0"/>
                                      <w:marTop w:val="0"/>
                                      <w:marBottom w:val="0"/>
                                      <w:divBdr>
                                        <w:top w:val="none" w:sz="0" w:space="0" w:color="auto"/>
                                        <w:left w:val="none" w:sz="0" w:space="0" w:color="auto"/>
                                        <w:bottom w:val="none" w:sz="0" w:space="0" w:color="auto"/>
                                        <w:right w:val="none" w:sz="0" w:space="0" w:color="auto"/>
                                      </w:divBdr>
                                      <w:divsChild>
                                        <w:div w:id="2032489757">
                                          <w:marLeft w:val="0"/>
                                          <w:marRight w:val="0"/>
                                          <w:marTop w:val="0"/>
                                          <w:marBottom w:val="0"/>
                                          <w:divBdr>
                                            <w:top w:val="none" w:sz="0" w:space="0" w:color="auto"/>
                                            <w:left w:val="none" w:sz="0" w:space="0" w:color="auto"/>
                                            <w:bottom w:val="none" w:sz="0" w:space="0" w:color="auto"/>
                                            <w:right w:val="none" w:sz="0" w:space="0" w:color="auto"/>
                                          </w:divBdr>
                                          <w:divsChild>
                                            <w:div w:id="1356803976">
                                              <w:marLeft w:val="0"/>
                                              <w:marRight w:val="0"/>
                                              <w:marTop w:val="0"/>
                                              <w:marBottom w:val="0"/>
                                              <w:divBdr>
                                                <w:top w:val="none" w:sz="0" w:space="0" w:color="auto"/>
                                                <w:left w:val="none" w:sz="0" w:space="0" w:color="auto"/>
                                                <w:bottom w:val="none" w:sz="0" w:space="0" w:color="auto"/>
                                                <w:right w:val="none" w:sz="0" w:space="0" w:color="auto"/>
                                              </w:divBdr>
                                              <w:divsChild>
                                                <w:div w:id="447241571">
                                                  <w:marLeft w:val="0"/>
                                                  <w:marRight w:val="0"/>
                                                  <w:marTop w:val="0"/>
                                                  <w:marBottom w:val="0"/>
                                                  <w:divBdr>
                                                    <w:top w:val="none" w:sz="0" w:space="0" w:color="auto"/>
                                                    <w:left w:val="none" w:sz="0" w:space="0" w:color="auto"/>
                                                    <w:bottom w:val="none" w:sz="0" w:space="0" w:color="auto"/>
                                                    <w:right w:val="none" w:sz="0" w:space="0" w:color="auto"/>
                                                  </w:divBdr>
                                                  <w:divsChild>
                                                    <w:div w:id="1994066068">
                                                      <w:marLeft w:val="0"/>
                                                      <w:marRight w:val="0"/>
                                                      <w:marTop w:val="0"/>
                                                      <w:marBottom w:val="0"/>
                                                      <w:divBdr>
                                                        <w:top w:val="none" w:sz="0" w:space="0" w:color="auto"/>
                                                        <w:left w:val="none" w:sz="0" w:space="0" w:color="auto"/>
                                                        <w:bottom w:val="none" w:sz="0" w:space="0" w:color="auto"/>
                                                        <w:right w:val="none" w:sz="0" w:space="0" w:color="auto"/>
                                                      </w:divBdr>
                                                      <w:divsChild>
                                                        <w:div w:id="1476095924">
                                                          <w:marLeft w:val="0"/>
                                                          <w:marRight w:val="0"/>
                                                          <w:marTop w:val="0"/>
                                                          <w:marBottom w:val="0"/>
                                                          <w:divBdr>
                                                            <w:top w:val="none" w:sz="0" w:space="0" w:color="auto"/>
                                                            <w:left w:val="none" w:sz="0" w:space="0" w:color="auto"/>
                                                            <w:bottom w:val="none" w:sz="0" w:space="0" w:color="auto"/>
                                                            <w:right w:val="none" w:sz="0" w:space="0" w:color="auto"/>
                                                          </w:divBdr>
                                                          <w:divsChild>
                                                            <w:div w:id="61875472">
                                                              <w:marLeft w:val="0"/>
                                                              <w:marRight w:val="0"/>
                                                              <w:marTop w:val="0"/>
                                                              <w:marBottom w:val="0"/>
                                                              <w:divBdr>
                                                                <w:top w:val="none" w:sz="0" w:space="0" w:color="auto"/>
                                                                <w:left w:val="none" w:sz="0" w:space="0" w:color="auto"/>
                                                                <w:bottom w:val="none" w:sz="0" w:space="0" w:color="auto"/>
                                                                <w:right w:val="none" w:sz="0" w:space="0" w:color="auto"/>
                                                              </w:divBdr>
                                                              <w:divsChild>
                                                                <w:div w:id="316037543">
                                                                  <w:marLeft w:val="0"/>
                                                                  <w:marRight w:val="0"/>
                                                                  <w:marTop w:val="0"/>
                                                                  <w:marBottom w:val="0"/>
                                                                  <w:divBdr>
                                                                    <w:top w:val="none" w:sz="0" w:space="0" w:color="auto"/>
                                                                    <w:left w:val="none" w:sz="0" w:space="0" w:color="auto"/>
                                                                    <w:bottom w:val="none" w:sz="0" w:space="0" w:color="auto"/>
                                                                    <w:right w:val="none" w:sz="0" w:space="0" w:color="auto"/>
                                                                  </w:divBdr>
                                                                  <w:divsChild>
                                                                    <w:div w:id="148597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86518017">
      <w:bodyDiv w:val="1"/>
      <w:marLeft w:val="0"/>
      <w:marRight w:val="0"/>
      <w:marTop w:val="0"/>
      <w:marBottom w:val="0"/>
      <w:divBdr>
        <w:top w:val="none" w:sz="0" w:space="0" w:color="auto"/>
        <w:left w:val="none" w:sz="0" w:space="0" w:color="auto"/>
        <w:bottom w:val="none" w:sz="0" w:space="0" w:color="auto"/>
        <w:right w:val="none" w:sz="0" w:space="0" w:color="auto"/>
      </w:divBdr>
    </w:div>
    <w:div w:id="1722241127">
      <w:bodyDiv w:val="1"/>
      <w:marLeft w:val="0"/>
      <w:marRight w:val="0"/>
      <w:marTop w:val="0"/>
      <w:marBottom w:val="0"/>
      <w:divBdr>
        <w:top w:val="none" w:sz="0" w:space="0" w:color="auto"/>
        <w:left w:val="none" w:sz="0" w:space="0" w:color="auto"/>
        <w:bottom w:val="none" w:sz="0" w:space="0" w:color="auto"/>
        <w:right w:val="none" w:sz="0" w:space="0" w:color="auto"/>
      </w:divBdr>
    </w:div>
    <w:div w:id="1727030448">
      <w:bodyDiv w:val="1"/>
      <w:marLeft w:val="0"/>
      <w:marRight w:val="0"/>
      <w:marTop w:val="0"/>
      <w:marBottom w:val="0"/>
      <w:divBdr>
        <w:top w:val="none" w:sz="0" w:space="0" w:color="auto"/>
        <w:left w:val="none" w:sz="0" w:space="0" w:color="auto"/>
        <w:bottom w:val="none" w:sz="0" w:space="0" w:color="auto"/>
        <w:right w:val="none" w:sz="0" w:space="0" w:color="auto"/>
      </w:divBdr>
      <w:divsChild>
        <w:div w:id="5443297">
          <w:marLeft w:val="0"/>
          <w:marRight w:val="0"/>
          <w:marTop w:val="0"/>
          <w:marBottom w:val="0"/>
          <w:divBdr>
            <w:top w:val="none" w:sz="0" w:space="0" w:color="auto"/>
            <w:left w:val="none" w:sz="0" w:space="0" w:color="auto"/>
            <w:bottom w:val="none" w:sz="0" w:space="0" w:color="auto"/>
            <w:right w:val="none" w:sz="0" w:space="0" w:color="auto"/>
          </w:divBdr>
        </w:div>
      </w:divsChild>
    </w:div>
    <w:div w:id="1750495223">
      <w:bodyDiv w:val="1"/>
      <w:marLeft w:val="0"/>
      <w:marRight w:val="0"/>
      <w:marTop w:val="0"/>
      <w:marBottom w:val="0"/>
      <w:divBdr>
        <w:top w:val="none" w:sz="0" w:space="0" w:color="auto"/>
        <w:left w:val="none" w:sz="0" w:space="0" w:color="auto"/>
        <w:bottom w:val="none" w:sz="0" w:space="0" w:color="auto"/>
        <w:right w:val="none" w:sz="0" w:space="0" w:color="auto"/>
      </w:divBdr>
      <w:divsChild>
        <w:div w:id="9568619">
          <w:marLeft w:val="0"/>
          <w:marRight w:val="0"/>
          <w:marTop w:val="0"/>
          <w:marBottom w:val="0"/>
          <w:divBdr>
            <w:top w:val="none" w:sz="0" w:space="0" w:color="auto"/>
            <w:left w:val="none" w:sz="0" w:space="0" w:color="auto"/>
            <w:bottom w:val="none" w:sz="0" w:space="0" w:color="auto"/>
            <w:right w:val="none" w:sz="0" w:space="0" w:color="auto"/>
          </w:divBdr>
        </w:div>
      </w:divsChild>
    </w:div>
    <w:div w:id="1752580360">
      <w:bodyDiv w:val="1"/>
      <w:marLeft w:val="0"/>
      <w:marRight w:val="0"/>
      <w:marTop w:val="0"/>
      <w:marBottom w:val="0"/>
      <w:divBdr>
        <w:top w:val="none" w:sz="0" w:space="0" w:color="auto"/>
        <w:left w:val="none" w:sz="0" w:space="0" w:color="auto"/>
        <w:bottom w:val="none" w:sz="0" w:space="0" w:color="auto"/>
        <w:right w:val="none" w:sz="0" w:space="0" w:color="auto"/>
      </w:divBdr>
    </w:div>
    <w:div w:id="1764379402">
      <w:bodyDiv w:val="1"/>
      <w:marLeft w:val="0"/>
      <w:marRight w:val="0"/>
      <w:marTop w:val="0"/>
      <w:marBottom w:val="0"/>
      <w:divBdr>
        <w:top w:val="none" w:sz="0" w:space="0" w:color="auto"/>
        <w:left w:val="none" w:sz="0" w:space="0" w:color="auto"/>
        <w:bottom w:val="none" w:sz="0" w:space="0" w:color="auto"/>
        <w:right w:val="none" w:sz="0" w:space="0" w:color="auto"/>
      </w:divBdr>
    </w:div>
    <w:div w:id="1770008719">
      <w:bodyDiv w:val="1"/>
      <w:marLeft w:val="0"/>
      <w:marRight w:val="0"/>
      <w:marTop w:val="0"/>
      <w:marBottom w:val="0"/>
      <w:divBdr>
        <w:top w:val="none" w:sz="0" w:space="0" w:color="auto"/>
        <w:left w:val="none" w:sz="0" w:space="0" w:color="auto"/>
        <w:bottom w:val="none" w:sz="0" w:space="0" w:color="auto"/>
        <w:right w:val="none" w:sz="0" w:space="0" w:color="auto"/>
      </w:divBdr>
      <w:divsChild>
        <w:div w:id="1987276714">
          <w:marLeft w:val="0"/>
          <w:marRight w:val="0"/>
          <w:marTop w:val="0"/>
          <w:marBottom w:val="0"/>
          <w:divBdr>
            <w:top w:val="none" w:sz="0" w:space="0" w:color="auto"/>
            <w:left w:val="none" w:sz="0" w:space="0" w:color="auto"/>
            <w:bottom w:val="none" w:sz="0" w:space="0" w:color="auto"/>
            <w:right w:val="none" w:sz="0" w:space="0" w:color="auto"/>
          </w:divBdr>
          <w:divsChild>
            <w:div w:id="689379663">
              <w:marLeft w:val="0"/>
              <w:marRight w:val="0"/>
              <w:marTop w:val="0"/>
              <w:marBottom w:val="0"/>
              <w:divBdr>
                <w:top w:val="none" w:sz="0" w:space="0" w:color="auto"/>
                <w:left w:val="none" w:sz="0" w:space="0" w:color="auto"/>
                <w:bottom w:val="none" w:sz="0" w:space="0" w:color="auto"/>
                <w:right w:val="none" w:sz="0" w:space="0" w:color="auto"/>
              </w:divBdr>
              <w:divsChild>
                <w:div w:id="542793926">
                  <w:marLeft w:val="0"/>
                  <w:marRight w:val="0"/>
                  <w:marTop w:val="0"/>
                  <w:marBottom w:val="0"/>
                  <w:divBdr>
                    <w:top w:val="none" w:sz="0" w:space="0" w:color="auto"/>
                    <w:left w:val="none" w:sz="0" w:space="0" w:color="auto"/>
                    <w:bottom w:val="none" w:sz="0" w:space="0" w:color="auto"/>
                    <w:right w:val="none" w:sz="0" w:space="0" w:color="auto"/>
                  </w:divBdr>
                  <w:divsChild>
                    <w:div w:id="1808083398">
                      <w:marLeft w:val="0"/>
                      <w:marRight w:val="0"/>
                      <w:marTop w:val="0"/>
                      <w:marBottom w:val="0"/>
                      <w:divBdr>
                        <w:top w:val="none" w:sz="0" w:space="0" w:color="auto"/>
                        <w:left w:val="none" w:sz="0" w:space="0" w:color="auto"/>
                        <w:bottom w:val="none" w:sz="0" w:space="0" w:color="auto"/>
                        <w:right w:val="none" w:sz="0" w:space="0" w:color="auto"/>
                      </w:divBdr>
                      <w:divsChild>
                        <w:div w:id="1859735457">
                          <w:marLeft w:val="0"/>
                          <w:marRight w:val="0"/>
                          <w:marTop w:val="0"/>
                          <w:marBottom w:val="0"/>
                          <w:divBdr>
                            <w:top w:val="none" w:sz="0" w:space="0" w:color="auto"/>
                            <w:left w:val="none" w:sz="0" w:space="0" w:color="auto"/>
                            <w:bottom w:val="none" w:sz="0" w:space="0" w:color="auto"/>
                            <w:right w:val="none" w:sz="0" w:space="0" w:color="auto"/>
                          </w:divBdr>
                          <w:divsChild>
                            <w:div w:id="1151671911">
                              <w:marLeft w:val="0"/>
                              <w:marRight w:val="0"/>
                              <w:marTop w:val="0"/>
                              <w:marBottom w:val="0"/>
                              <w:divBdr>
                                <w:top w:val="none" w:sz="0" w:space="0" w:color="auto"/>
                                <w:left w:val="none" w:sz="0" w:space="0" w:color="auto"/>
                                <w:bottom w:val="none" w:sz="0" w:space="0" w:color="auto"/>
                                <w:right w:val="none" w:sz="0" w:space="0" w:color="auto"/>
                              </w:divBdr>
                              <w:divsChild>
                                <w:div w:id="1219439100">
                                  <w:marLeft w:val="0"/>
                                  <w:marRight w:val="0"/>
                                  <w:marTop w:val="0"/>
                                  <w:marBottom w:val="0"/>
                                  <w:divBdr>
                                    <w:top w:val="none" w:sz="0" w:space="0" w:color="auto"/>
                                    <w:left w:val="none" w:sz="0" w:space="0" w:color="auto"/>
                                    <w:bottom w:val="none" w:sz="0" w:space="0" w:color="auto"/>
                                    <w:right w:val="none" w:sz="0" w:space="0" w:color="auto"/>
                                  </w:divBdr>
                                  <w:divsChild>
                                    <w:div w:id="787359982">
                                      <w:marLeft w:val="0"/>
                                      <w:marRight w:val="0"/>
                                      <w:marTop w:val="0"/>
                                      <w:marBottom w:val="0"/>
                                      <w:divBdr>
                                        <w:top w:val="none" w:sz="0" w:space="0" w:color="auto"/>
                                        <w:left w:val="none" w:sz="0" w:space="0" w:color="auto"/>
                                        <w:bottom w:val="none" w:sz="0" w:space="0" w:color="auto"/>
                                        <w:right w:val="none" w:sz="0" w:space="0" w:color="auto"/>
                                      </w:divBdr>
                                      <w:divsChild>
                                        <w:div w:id="478309281">
                                          <w:marLeft w:val="0"/>
                                          <w:marRight w:val="0"/>
                                          <w:marTop w:val="0"/>
                                          <w:marBottom w:val="0"/>
                                          <w:divBdr>
                                            <w:top w:val="none" w:sz="0" w:space="0" w:color="auto"/>
                                            <w:left w:val="none" w:sz="0" w:space="0" w:color="auto"/>
                                            <w:bottom w:val="none" w:sz="0" w:space="0" w:color="auto"/>
                                            <w:right w:val="none" w:sz="0" w:space="0" w:color="auto"/>
                                          </w:divBdr>
                                          <w:divsChild>
                                            <w:div w:id="1221594137">
                                              <w:marLeft w:val="0"/>
                                              <w:marRight w:val="0"/>
                                              <w:marTop w:val="0"/>
                                              <w:marBottom w:val="0"/>
                                              <w:divBdr>
                                                <w:top w:val="none" w:sz="0" w:space="0" w:color="auto"/>
                                                <w:left w:val="none" w:sz="0" w:space="0" w:color="auto"/>
                                                <w:bottom w:val="none" w:sz="0" w:space="0" w:color="auto"/>
                                                <w:right w:val="none" w:sz="0" w:space="0" w:color="auto"/>
                                              </w:divBdr>
                                              <w:divsChild>
                                                <w:div w:id="82798905">
                                                  <w:marLeft w:val="0"/>
                                                  <w:marRight w:val="0"/>
                                                  <w:marTop w:val="0"/>
                                                  <w:marBottom w:val="0"/>
                                                  <w:divBdr>
                                                    <w:top w:val="none" w:sz="0" w:space="0" w:color="auto"/>
                                                    <w:left w:val="none" w:sz="0" w:space="0" w:color="auto"/>
                                                    <w:bottom w:val="none" w:sz="0" w:space="0" w:color="auto"/>
                                                    <w:right w:val="none" w:sz="0" w:space="0" w:color="auto"/>
                                                  </w:divBdr>
                                                  <w:divsChild>
                                                    <w:div w:id="492380005">
                                                      <w:marLeft w:val="0"/>
                                                      <w:marRight w:val="0"/>
                                                      <w:marTop w:val="0"/>
                                                      <w:marBottom w:val="0"/>
                                                      <w:divBdr>
                                                        <w:top w:val="none" w:sz="0" w:space="0" w:color="auto"/>
                                                        <w:left w:val="none" w:sz="0" w:space="0" w:color="auto"/>
                                                        <w:bottom w:val="none" w:sz="0" w:space="0" w:color="auto"/>
                                                        <w:right w:val="none" w:sz="0" w:space="0" w:color="auto"/>
                                                      </w:divBdr>
                                                      <w:divsChild>
                                                        <w:div w:id="203955099">
                                                          <w:marLeft w:val="0"/>
                                                          <w:marRight w:val="0"/>
                                                          <w:marTop w:val="0"/>
                                                          <w:marBottom w:val="0"/>
                                                          <w:divBdr>
                                                            <w:top w:val="none" w:sz="0" w:space="0" w:color="auto"/>
                                                            <w:left w:val="none" w:sz="0" w:space="0" w:color="auto"/>
                                                            <w:bottom w:val="none" w:sz="0" w:space="0" w:color="auto"/>
                                                            <w:right w:val="none" w:sz="0" w:space="0" w:color="auto"/>
                                                          </w:divBdr>
                                                          <w:divsChild>
                                                            <w:div w:id="33969505">
                                                              <w:marLeft w:val="0"/>
                                                              <w:marRight w:val="0"/>
                                                              <w:marTop w:val="0"/>
                                                              <w:marBottom w:val="0"/>
                                                              <w:divBdr>
                                                                <w:top w:val="none" w:sz="0" w:space="0" w:color="auto"/>
                                                                <w:left w:val="none" w:sz="0" w:space="0" w:color="auto"/>
                                                                <w:bottom w:val="none" w:sz="0" w:space="0" w:color="auto"/>
                                                                <w:right w:val="none" w:sz="0" w:space="0" w:color="auto"/>
                                                              </w:divBdr>
                                                              <w:divsChild>
                                                                <w:div w:id="866790920">
                                                                  <w:marLeft w:val="0"/>
                                                                  <w:marRight w:val="0"/>
                                                                  <w:marTop w:val="0"/>
                                                                  <w:marBottom w:val="0"/>
                                                                  <w:divBdr>
                                                                    <w:top w:val="none" w:sz="0" w:space="0" w:color="auto"/>
                                                                    <w:left w:val="none" w:sz="0" w:space="0" w:color="auto"/>
                                                                    <w:bottom w:val="none" w:sz="0" w:space="0" w:color="auto"/>
                                                                    <w:right w:val="none" w:sz="0" w:space="0" w:color="auto"/>
                                                                  </w:divBdr>
                                                                  <w:divsChild>
                                                                    <w:div w:id="97787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79911953">
      <w:bodyDiv w:val="1"/>
      <w:marLeft w:val="0"/>
      <w:marRight w:val="0"/>
      <w:marTop w:val="0"/>
      <w:marBottom w:val="0"/>
      <w:divBdr>
        <w:top w:val="none" w:sz="0" w:space="0" w:color="auto"/>
        <w:left w:val="none" w:sz="0" w:space="0" w:color="auto"/>
        <w:bottom w:val="none" w:sz="0" w:space="0" w:color="auto"/>
        <w:right w:val="none" w:sz="0" w:space="0" w:color="auto"/>
      </w:divBdr>
    </w:div>
    <w:div w:id="1870994258">
      <w:bodyDiv w:val="1"/>
      <w:marLeft w:val="0"/>
      <w:marRight w:val="0"/>
      <w:marTop w:val="0"/>
      <w:marBottom w:val="0"/>
      <w:divBdr>
        <w:top w:val="none" w:sz="0" w:space="0" w:color="auto"/>
        <w:left w:val="none" w:sz="0" w:space="0" w:color="auto"/>
        <w:bottom w:val="none" w:sz="0" w:space="0" w:color="auto"/>
        <w:right w:val="none" w:sz="0" w:space="0" w:color="auto"/>
      </w:divBdr>
      <w:divsChild>
        <w:div w:id="1180002788">
          <w:marLeft w:val="0"/>
          <w:marRight w:val="0"/>
          <w:marTop w:val="0"/>
          <w:marBottom w:val="0"/>
          <w:divBdr>
            <w:top w:val="none" w:sz="0" w:space="0" w:color="auto"/>
            <w:left w:val="none" w:sz="0" w:space="0" w:color="auto"/>
            <w:bottom w:val="none" w:sz="0" w:space="0" w:color="auto"/>
            <w:right w:val="none" w:sz="0" w:space="0" w:color="auto"/>
          </w:divBdr>
        </w:div>
      </w:divsChild>
    </w:div>
    <w:div w:id="2027709220">
      <w:bodyDiv w:val="1"/>
      <w:marLeft w:val="0"/>
      <w:marRight w:val="0"/>
      <w:marTop w:val="0"/>
      <w:marBottom w:val="0"/>
      <w:divBdr>
        <w:top w:val="none" w:sz="0" w:space="0" w:color="auto"/>
        <w:left w:val="none" w:sz="0" w:space="0" w:color="auto"/>
        <w:bottom w:val="none" w:sz="0" w:space="0" w:color="auto"/>
        <w:right w:val="none" w:sz="0" w:space="0" w:color="auto"/>
      </w:divBdr>
    </w:div>
    <w:div w:id="2030599151">
      <w:bodyDiv w:val="1"/>
      <w:marLeft w:val="0"/>
      <w:marRight w:val="0"/>
      <w:marTop w:val="0"/>
      <w:marBottom w:val="0"/>
      <w:divBdr>
        <w:top w:val="none" w:sz="0" w:space="0" w:color="auto"/>
        <w:left w:val="none" w:sz="0" w:space="0" w:color="auto"/>
        <w:bottom w:val="none" w:sz="0" w:space="0" w:color="auto"/>
        <w:right w:val="none" w:sz="0" w:space="0" w:color="auto"/>
      </w:divBdr>
      <w:divsChild>
        <w:div w:id="1695964109">
          <w:marLeft w:val="331"/>
          <w:marRight w:val="0"/>
          <w:marTop w:val="0"/>
          <w:marBottom w:val="0"/>
          <w:divBdr>
            <w:top w:val="none" w:sz="0" w:space="0" w:color="auto"/>
            <w:left w:val="none" w:sz="0" w:space="0" w:color="auto"/>
            <w:bottom w:val="none" w:sz="0" w:space="0" w:color="auto"/>
            <w:right w:val="none" w:sz="0" w:space="0" w:color="auto"/>
          </w:divBdr>
        </w:div>
      </w:divsChild>
    </w:div>
    <w:div w:id="2068408603">
      <w:bodyDiv w:val="1"/>
      <w:marLeft w:val="0"/>
      <w:marRight w:val="0"/>
      <w:marTop w:val="0"/>
      <w:marBottom w:val="0"/>
      <w:divBdr>
        <w:top w:val="none" w:sz="0" w:space="0" w:color="auto"/>
        <w:left w:val="none" w:sz="0" w:space="0" w:color="auto"/>
        <w:bottom w:val="none" w:sz="0" w:space="0" w:color="auto"/>
        <w:right w:val="none" w:sz="0" w:space="0" w:color="auto"/>
      </w:divBdr>
      <w:divsChild>
        <w:div w:id="1553734064">
          <w:marLeft w:val="274"/>
          <w:marRight w:val="0"/>
          <w:marTop w:val="0"/>
          <w:marBottom w:val="0"/>
          <w:divBdr>
            <w:top w:val="none" w:sz="0" w:space="0" w:color="auto"/>
            <w:left w:val="none" w:sz="0" w:space="0" w:color="auto"/>
            <w:bottom w:val="none" w:sz="0" w:space="0" w:color="auto"/>
            <w:right w:val="none" w:sz="0" w:space="0" w:color="auto"/>
          </w:divBdr>
        </w:div>
      </w:divsChild>
    </w:div>
    <w:div w:id="2085373494">
      <w:bodyDiv w:val="1"/>
      <w:marLeft w:val="0"/>
      <w:marRight w:val="0"/>
      <w:marTop w:val="0"/>
      <w:marBottom w:val="0"/>
      <w:divBdr>
        <w:top w:val="none" w:sz="0" w:space="0" w:color="auto"/>
        <w:left w:val="none" w:sz="0" w:space="0" w:color="auto"/>
        <w:bottom w:val="none" w:sz="0" w:space="0" w:color="auto"/>
        <w:right w:val="none" w:sz="0" w:space="0" w:color="auto"/>
      </w:divBdr>
    </w:div>
    <w:div w:id="2100592471">
      <w:bodyDiv w:val="1"/>
      <w:marLeft w:val="0"/>
      <w:marRight w:val="0"/>
      <w:marTop w:val="0"/>
      <w:marBottom w:val="0"/>
      <w:divBdr>
        <w:top w:val="none" w:sz="0" w:space="0" w:color="auto"/>
        <w:left w:val="none" w:sz="0" w:space="0" w:color="auto"/>
        <w:bottom w:val="none" w:sz="0" w:space="0" w:color="auto"/>
        <w:right w:val="none" w:sz="0" w:space="0" w:color="auto"/>
      </w:divBdr>
      <w:divsChild>
        <w:div w:id="798499749">
          <w:marLeft w:val="0"/>
          <w:marRight w:val="0"/>
          <w:marTop w:val="0"/>
          <w:marBottom w:val="0"/>
          <w:divBdr>
            <w:top w:val="none" w:sz="0" w:space="0" w:color="auto"/>
            <w:left w:val="none" w:sz="0" w:space="0" w:color="auto"/>
            <w:bottom w:val="none" w:sz="0" w:space="0" w:color="auto"/>
            <w:right w:val="none" w:sz="0" w:space="0" w:color="auto"/>
          </w:divBdr>
        </w:div>
      </w:divsChild>
    </w:div>
    <w:div w:id="2117362972">
      <w:bodyDiv w:val="1"/>
      <w:marLeft w:val="0"/>
      <w:marRight w:val="0"/>
      <w:marTop w:val="0"/>
      <w:marBottom w:val="0"/>
      <w:divBdr>
        <w:top w:val="none" w:sz="0" w:space="0" w:color="auto"/>
        <w:left w:val="none" w:sz="0" w:space="0" w:color="auto"/>
        <w:bottom w:val="none" w:sz="0" w:space="0" w:color="auto"/>
        <w:right w:val="none" w:sz="0" w:space="0" w:color="auto"/>
      </w:divBdr>
    </w:div>
    <w:div w:id="2134202399">
      <w:bodyDiv w:val="1"/>
      <w:marLeft w:val="0"/>
      <w:marRight w:val="0"/>
      <w:marTop w:val="0"/>
      <w:marBottom w:val="0"/>
      <w:divBdr>
        <w:top w:val="none" w:sz="0" w:space="0" w:color="auto"/>
        <w:left w:val="none" w:sz="0" w:space="0" w:color="auto"/>
        <w:bottom w:val="none" w:sz="0" w:space="0" w:color="auto"/>
        <w:right w:val="none" w:sz="0" w:space="0" w:color="auto"/>
      </w:divBdr>
    </w:div>
    <w:div w:id="2145386848">
      <w:bodyDiv w:val="1"/>
      <w:marLeft w:val="0"/>
      <w:marRight w:val="0"/>
      <w:marTop w:val="0"/>
      <w:marBottom w:val="0"/>
      <w:divBdr>
        <w:top w:val="none" w:sz="0" w:space="0" w:color="auto"/>
        <w:left w:val="none" w:sz="0" w:space="0" w:color="auto"/>
        <w:bottom w:val="none" w:sz="0" w:space="0" w:color="auto"/>
        <w:right w:val="none" w:sz="0" w:space="0" w:color="auto"/>
      </w:divBdr>
      <w:divsChild>
        <w:div w:id="180541782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35321B6D-56A6-4A23-B840-2E9DFA9C4B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238</TotalTime>
  <Pages>4</Pages>
  <Words>369</Words>
  <Characters>2106</Characters>
  <Application>Microsoft Office Word</Application>
  <DocSecurity>0</DocSecurity>
  <Lines>17</Lines>
  <Paragraphs>4</Paragraphs>
  <ScaleCrop>false</ScaleCrop>
  <Company>QN</Company>
  <LinksUpToDate>false</LinksUpToDate>
  <CharactersWithSpaces>2471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HYC_财务部_任艺男</dc:creator>
  <cp:keywords/>
  <dc:description/>
  <cp:lastModifiedBy>ir</cp:lastModifiedBy>
  <cp:revision>34</cp:revision>
  <cp:lastPrinted>2023-10-25T11:35:00Z</cp:lastPrinted>
  <dcterms:created xsi:type="dcterms:W3CDTF">2024-06-20T09:22:00Z</dcterms:created>
  <dcterms:modified xsi:type="dcterms:W3CDTF">2024-08-14T06:04:00Z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